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TA.2006.370 vom 18. Juli 2007</w:t>
      </w:r>
    </w:p>
    <w:p>
      <w:r>
        <w:t>NE Tribunal cantonal, 2007-07-18, FR</w:t>
      </w:r>
    </w:p>
    <w:p>
      <w:r>
        <w:rPr>
          <w:b/>
        </w:rPr>
        <w:t xml:space="preserve">Quelle: </w:t>
      </w:r>
      <w:r>
        <w:t>https://mcp.opencaselaw.ch/entscheid/ne_gerichte_TA.2006.370</w:t>
      </w:r>
    </w:p>
    <w:p>
      <w:r>
        <w:t>FR: NE_GERICHTE TA.2006.370 du 18 juillet 2007</w:t>
      </w:r>
    </w:p>
    <w:p>
      <w:r>
        <w:t>IT: NE_GERICHTE TA.2006.370 del 18 luglio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l'espèce, s'il a indiqué les raisons qui l'amenaient à prendre sa décision sur la base du dossier en sa possession, l'office AI a en revanche négligé de motiver le refus de prestations. Ce vice reste toutefois sans conséquence puisqu'il n'a pas entravé la recourante dans la défense de ses droits. Celle-ci fait d'ailleurs valoir, à bon escient, que l'intimé était en mesure, malgré l'absence de collaboration de sa mère, de vérifier que les conditions de l'article 9 al.3 litt.a LAI étaient réalisées, plus particulièrement que leur lien de filiation était établi, S. , comptant au demeurant bien plus qu'une année entière de cotisations . Il suffisait en effet à l'office AI de requérir le dossier que le service des migrations avait constitué au moment de l'arrivée de la recourante en Suisse. Parmi les pièces déposées par celle-ci figure un jugement du 12 janvier 2002, par lequel le Tribunal de Grande Instance de Kinshasa-Matete a déclaré que M. était née à Kinshasa le 10 juin 1989 de l'union conjugale entre O. et S. et ordonné à l'officier de l'état civil de la Commune de Matete de constater et d'enregistrer ladite naissance, de dresser l'acte y afférent et de transcrire le dispositif du présent jugement sur le registre des naissances de l'année en cours. L'acte de naissance a été établi le 2 avril 2002. Ces documents officiels, dont l'authenticité n'est pas remise en cause, font naître la présomption que la recourante est bien la fille de S. Ni la conviction de l'intimé – en soi insuffisante – du caractère mensonger des déclarations de S. ni l'absence de mention par celle-ci, au moment de son arrivée en Suisse, de l'existence de sa fille ne sont susceptibles de renverser cette présomption (art.8 CC; SJ 1995, p.52). Le lien de filiation doit par conséquent être tenu pour acquis, ce qui conduit à reconnaître que l'assurée remplit la condition de l'article 9 al.3 litt.a LAI.</w:t>
      </w:r>
    </w:p>
    <w:p>
      <w:r>
        <w:rPr>
          <w:b/>
        </w:rPr>
        <w:t>E. 5</w:t>
      </w:r>
    </w:p>
    <w:p>
      <w:r>
        <w:t>Il suit de ce qui précède que le recours doit être admis, la décision annulée et le dossier renvoyé à l'intimé pour qu'il examine si les conditions du droit à une formation professionnelle initiale selon l'article16 LAI sont remplies et rende une nouvelle décision. L'office AI qui succombe supportera les frais de la procédure (art.69 al.1 bis 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