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TA.2005.71 vom 17. Mai 2005</w:t>
      </w:r>
    </w:p>
    <w:p>
      <w:r>
        <w:t>NE Tribunal cantonal, 2005-05-17, FR</w:t>
      </w:r>
    </w:p>
    <w:p>
      <w:r>
        <w:rPr>
          <w:b/>
        </w:rPr>
        <w:t xml:space="preserve">Quelle: </w:t>
      </w:r>
      <w:r>
        <w:t>https://mcp.opencaselaw.ch/entscheid/ne_gerichte_TA.2005.71</w:t>
      </w:r>
    </w:p>
    <w:p>
      <w:r>
        <w:t>FR: NE_GERICHTE TA.2005.71 du 17 mai 2005</w:t>
      </w:r>
    </w:p>
    <w:p>
      <w:r>
        <w:t>IT: NE_GERICHTE TA.2005.71 del 17 maggio 2005</w:t>
      </w:r>
    </w:p>
    <w:p>
      <w:pPr>
        <w:pStyle w:val="Heading2"/>
      </w:pPr>
      <w:r>
        <w:t>Erwägungen</w:t>
      </w:r>
    </w:p>
    <w:p>
      <w:r>
        <w:rPr>
          <w:b/>
        </w:rPr>
        <w:t>E. 1</w:t>
      </w:r>
    </w:p>
    <w:p>
      <w:r>
        <w:t>a) La commission scolaire a qualité pour recourir devant le Tribunal administratif contre une décision du DIPAC lorsque est en cause l'un de ses prononcés dans un domaine qui échoit à sa compétence (RJN 1998, p.241 ss). Tel est le cas en l'espèce, la recourante étant l'autorité de nomination des enseignants, au sens de l'article 44 de la loi sur le statut de la fonction publique (LSt) et des articles 3 al.1 litt.b et 26 du règlement des enseignants du 3 juillet 1996 (RSN 152.513). b) Interjeté dans les formes et délai légaux, le recours est recevable.</w:t>
      </w:r>
    </w:p>
    <w:p>
      <w:r>
        <w:rPr>
          <w:b/>
        </w:rPr>
        <w:t>E. 2</w:t>
      </w:r>
    </w:p>
    <w:p>
      <w:r>
        <w:t>Selon l'article 44 LSt, lorsqu'un poste est supprimé, l'autorité de nomination met fin aux rapports de service moyennant un avertissement écrit donné 6 mois à l'avance pour la fin d'un semestre scolaire s'agissant des membres du personnel enseignant (al.1 litt.a). Le Conseil d'Etat prend toutes mesures utiles pour offrir à l'intéressé un emploi de nature équivalente au service de l'Etat, d'une commune, d'une institution para-étatique ou d'une entreprise privée (al.2). Si la démarche entreprise par le Conseil d'Etat a pour effet de faire perdre à l'intéressé son statut de titulaire de fonction publique, une indemnité égale à trois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 (al.4). En cas de suppression d'un poste d'enseignant, l'autorité de nomination met fin aux rapports de service d'un enseignant, conformément à l'article 44 LSt. Elle opère son choix en tenant compte équitablement en particulier de l'ancienneté dans le ressort scolaire, des qualifications professionnelles et des circonstances personnelles (art.26 du règlement des enseignants). Le département s'efforce d'assurer aux enseignants dont le poste est supprimé un autre poste équivalent dans une école du canton. En cas de nécessité, il peut décréter des offres publiques d'emploi où seuls ces enseignants sont appelés à postuler (art.27 du règlement des enseignants).</w:t>
      </w:r>
    </w:p>
    <w:p>
      <w:r>
        <w:rPr>
          <w:b/>
        </w:rPr>
        <w:t>E. 3</w:t>
      </w:r>
    </w:p>
    <w:p>
      <w:r>
        <w:t>a) Le droit d'être entendu, au sens des articles 29 al.2 Cst.féd. et 21 LPJA (v. Schaer , Juridiction administrative neuchâteloise, p.96), comprend le droit pour l'intéressé de prendre connaissance du dossier (ATF 126 I 10 cons.2b),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578 cons.2c, 124 II 137 cons.2b et les références). b) En l'espèce, Z. savait qu'un poste d'enseignant devait être supprimé à la fin de l'année scolaire 2003-2004 et, après la décision rendue le 11 décembre 2002 par la commission scolaire, elle devait être consciente que le poste qu'elle occupait était particulièrement visé. Comme toutes les autres personnes concernées par la procédure de suppression de poste en question, la prénommée a été invitée à remplir un questionnaire, puis elle a été entendue personnellement le 15 janvier 2004. Dans l'intervalle, l'autorité avait tenté de procéder à la suppression du poste en question en recherchant un accord entre les intéressés. Ainsi, Z. a eu tout loisir de faire valoir ses arguments, même si l'autorité ne lui a pas formellement indiqué que le poste qu'elle envisageait de supprimer était le sien. Tous les enseignants entendus devaient s'attendre, comme elle, à être personnellement concernés, de sorte que, dans cette éventualité, il incombait à chacun d'eux de faire valoir ses arguments et ses moyens, comme cela était possible à tous les stades de la procédure. On ne pouvait exiger de la recourante qu'elle donne encore l'occasion à l'intéressée de s'exprimer après avoir pris sa décision. D'ailleurs, le Tribunal administratif a déjà dit à plusieurs reprises que, puisque le droit d'être entendu doit être octroyé à la personne concernée avant qu'une décision soit rendue à son encontre, ce droit n'est pas respecté dans le cas où le fonctionnaire est convié à un entretien au cours duquel la décision litigieuse, déjà prête et signée, lui est remise (RJN 1999, p.257 et les références; ATA non publiés P. du 01.04.2004 [TA.2004.48] et K. du 10.05.2001 [TA.2001.5]).</w:t>
      </w:r>
    </w:p>
    <w:p>
      <w:r>
        <w:rPr>
          <w:b/>
        </w:rPr>
        <w:t>E. 4</w:t>
      </w:r>
    </w:p>
    <w:p>
      <w:r>
        <w:t>Il suit de ce qui précède que la décision attaquée doit être annulée. La commission scolaire recourante demande au Tribunal administratif de valider définitivement sa décision du 29 janvier 2004. Cependant, le DIPAC ne s'est pas prononcé sur les arguments développés devant lui par Z. dans son recours du 20 février 2004. Dès lors, si la Cour de céans procédait à un examen du fond de la cause, il priverait la prénommée d'une instance. Cela contreviendrait aux dispositions de l'article 50 LPJA qui prescrit que le recours auprès du Tribunal administratif n'est recevable qu'après l'épuisement de toutes les voies inférieures de recours. En outre, la procédure administrative neuchâteloise ne connaît pas la possibilité de déroger à la compétence fonctionnelle par le recours sautant (RJN 2002, p.343), de sorte qu'il convient de renvoyer une nouvelle fois la cause au DIPAC pour qu'il entre en matière sur le fond du recours de Z. du 20 février 2004.</w:t>
      </w:r>
    </w:p>
    <w:p>
      <w:r>
        <w:rPr>
          <w:b/>
        </w:rPr>
        <w:t>E. 5</w:t>
      </w:r>
    </w:p>
    <w:p>
      <w:r>
        <w:t>Il est statué sans frais, les autorités cantonales et communales n'en payant pas (art.47 al.2 LPJA). Il ne sera en outre pas alloué de dépens puisque, aux termes de l'article 48 al.1 LPJA, seul l'administré peut en prétendre.</w:t>
      </w:r>
    </w:p>
    <w:p>
      <w:r>
        <w:rPr>
          <w:b/>
        </w:rPr>
        <w:t>E. 48</w:t>
      </w:r>
    </w:p>
    <w:p>
      <w:r>
        <w:t>al.1 LPJA, seul l'administré peut en prétendre.</w:t>
      </w:r>
    </w:p>
    <w:p>
      <w:r>
        <w:t>Par ces motifs,LE TRIBUNAL ADMINISTRATIF</w:t>
      </w:r>
    </w:p>
    <w:p>
      <w:r>
        <w:t>1.Annule la décision du Département de l'instruction publique et des affaires culturelles du 11 février 2005.</w:t>
      </w:r>
    </w:p>
    <w:p>
      <w:r>
        <w:t>2.Renvoie la cause audit département pour qu'il statue à nouveau sur le recours de Z. du 20 février 2004.</w:t>
      </w:r>
    </w:p>
    <w:p>
      <w:r>
        <w:t>3.Statue sans frais et n'alloue pas de dépens.</w:t>
      </w:r>
    </w:p>
    <w:p>
      <w:r>
        <w:t>Neuchâtel, le 17 mai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