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TA.2005.158 vom 26. Oktober 2005</w:t>
      </w:r>
    </w:p>
    <w:p>
      <w:r>
        <w:t>NE Tribunal cantonal, 2005-10-26, FR</w:t>
      </w:r>
    </w:p>
    <w:p>
      <w:r>
        <w:rPr>
          <w:b/>
        </w:rPr>
        <w:t xml:space="preserve">Quelle: </w:t>
      </w:r>
      <w:r>
        <w:t>https://mcp.opencaselaw.ch/entscheid/ne_gerichte_TA.2005.158</w:t>
      </w:r>
    </w:p>
    <w:p>
      <w:r>
        <w:t>FR: NE_GERICHTE TA.2005.158 du 26 octobre 2005</w:t>
      </w:r>
    </w:p>
    <w:p>
      <w:r>
        <w:t>IT: NE_GERICHTE TA.2005.158 del 26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requête du Syndicat Y.</w:t>
      </w:r>
    </w:p>
    <w:p>
      <w:r>
        <w:rPr>
          <w:b/>
        </w:rPr>
        <w:t>E. 2</w:t>
      </w:r>
    </w:p>
    <w:p>
      <w:r>
        <w:t>Impartit aux défendeurs un délai de 20 jours dès notification de la présente décision pour déposer leur réponse à la demande après réforme.</w:t>
      </w:r>
    </w:p>
    <w:p>
      <w:r>
        <w:rPr>
          <w:b/>
        </w:rPr>
        <w:t>E. 3</w:t>
      </w:r>
    </w:p>
    <w:p>
      <w:r>
        <w:t>Dit qu'il sera statué en fin de cause sur les frais et dépens de l'instance. Neuchâtel, le 26 octobre 2005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