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TA.1999.121 vom 10. September 1999</w:t>
      </w:r>
    </w:p>
    <w:p>
      <w:r>
        <w:t>NE Tribunal cantonal, 1999-09-10, FR</w:t>
      </w:r>
    </w:p>
    <w:p>
      <w:r>
        <w:rPr>
          <w:b/>
        </w:rPr>
        <w:t xml:space="preserve">Quelle: </w:t>
      </w:r>
      <w:r>
        <w:t>https://mcp.opencaselaw.ch/entscheid/ne_gerichte_TA.1999.121</w:t>
      </w:r>
    </w:p>
    <w:p>
      <w:r>
        <w:t>FR: NE_GERICHTE TA.1999.121 du 10 septembre 1999</w:t>
      </w:r>
    </w:p>
    <w:p>
      <w:r>
        <w:t>IT: NE_GERICHTE TA.1999.121 del 10 settembre 1999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de la loi sur les droits de mutation (Olivier Thomas, Les</w:t>
      </w:r>
    </w:p>
    <w:p>
      <w:r>
        <w:t>droits de mutation, thèse, 1991, p.191). Les conclusions portant sur ce</w:t>
      </w:r>
    </w:p>
    <w:p>
      <w:r>
        <w:t>point sont donc irrecevables.</w:t>
      </w:r>
    </w:p>
    <w:p>
      <w:r>
        <w:t>b) Pour le surplus, le recours, interjeté dans les formes et</w:t>
      </w:r>
    </w:p>
    <w:p>
      <w:r>
        <w:t>délai légaux, est recevable.</w:t>
      </w:r>
    </w:p>
    <w:p>
      <w:r>
        <w:t>2. Bien que les taxations relatives aux ventes du 29 janvier 1998</w:t>
      </w:r>
    </w:p>
    <w:p>
      <w:r>
        <w:t>ne puissent pas être remises en cause dans le cadre de la présente procé-</w:t>
      </w:r>
    </w:p>
    <w:p>
      <w:r>
        <w:t>dure, il convient d'examiner si, en stipulant ces ventes, les parties</w:t>
      </w:r>
    </w:p>
    <w:p>
      <w:r>
        <w:t>étaient dans une erreur essentielle.</w:t>
      </w:r>
    </w:p>
    <w:p>
      <w:r>
        <w:t>a) L'erreur est essentielle, notamment, lorsqu'elle porte sur</w:t>
      </w:r>
    </w:p>
    <w:p>
      <w:r>
        <w:t>des faits que la loyauté commerciale permettait à celui qui se prévaut de</w:t>
      </w:r>
    </w:p>
    <w:p>
      <w:r>
        <w:t>son erreur de considérer comme des éléments nécessaires du contrat (art.24</w:t>
      </w:r>
    </w:p>
    <w:p>
      <w:r>
        <w:t>al.1 ch.4 CO). Il s'agit de l'erreur dite de base, relative à des faits</w:t>
      </w:r>
    </w:p>
    <w:p>
      <w:r>
        <w:t>qui forment subjectivement et objectivement la base du contrat (Engel,</w:t>
      </w:r>
    </w:p>
    <w:p>
      <w:r>
        <w:t>Traité des obligations en droit suisse, 1997, p.327). Dans sa jurispru-</w:t>
      </w:r>
    </w:p>
    <w:p>
      <w:r>
        <w:t>dence la plus récente en la matière (ATF 118 II 300 cons.2b, 109 II 110</w:t>
      </w:r>
    </w:p>
    <w:p>
      <w:r>
        <w:t>cons.4baa), le Tribunal fédéral a admis qu'une telle erreur pouvait porter</w:t>
      </w:r>
    </w:p>
    <w:p>
      <w:r>
        <w:t>sur un fait futur, pour autant qu'elle concerne un fait déterminé ("einen</w:t>
      </w:r>
    </w:p>
    <w:p>
      <w:r>
        <w:t>bestimmten Sachverhalt" selon le texte allemand de l'art.24 al.1 ch.4 CO)</w:t>
      </w:r>
    </w:p>
    <w:p>
      <w:r>
        <w:t>qui constitue une condition sine qua non du contrat, dont l'avènement</w:t>
      </w:r>
    </w:p>
    <w:p>
      <w:r>
        <w:t>était tenu pour certain par les parties et qui ne s'est pas réalisé par la</w:t>
      </w:r>
    </w:p>
    <w:p>
      <w:r>
        <w:t>suite. Il ne suffit donc pas d'un simple espoir ni d'une conjecture</w:t>
      </w:r>
    </w:p>
    <w:p>
      <w:r>
        <w:t>adoptée sans raisons suffisantes, voire par esprit de spéculation (juris-</w:t>
      </w:r>
    </w:p>
    <w:p>
      <w:r>
        <w:t>prudence précitée). Les parties doivent avoir une représentation concrète</w:t>
      </w:r>
    </w:p>
    <w:p>
      <w:r>
        <w:t>de l'événement futur, le considérer exempt de tout risque pour leur</w:t>
      </w:r>
    </w:p>
    <w:p>
      <w:r>
        <w:t>contrat, ce qui est le cas lorsque, selon la loyauté commerciale et selon</w:t>
      </w:r>
    </w:p>
    <w:p>
      <w:r>
        <w:t>la marche des affaires, elles peuvent tabler sur la survenance du fait en</w:t>
      </w:r>
    </w:p>
    <w:p>
      <w:r>
        <w:t>question (Schmidlin, in Berner Kommentar, ad art.23-27 CO, 1993, p.126).</w:t>
      </w:r>
    </w:p>
    <w:p>
      <w:r>
        <w:t>Par ailleurs, point n'est besoin que les faits invoqués soient inclus dans</w:t>
      </w:r>
    </w:p>
    <w:p>
      <w:r>
        <w:t>le contrat, qu'ils appartiennent à son contenu. Cela se peut, mais ce</w:t>
      </w:r>
    </w:p>
    <w:p>
      <w:r>
        <w:t>n'est pas une condition d'application de l'article 24 al.1 ch.4 CO (Engel,</w:t>
      </w:r>
    </w:p>
    <w:p>
      <w:r>
        <w:t>op. cit., p.329). Ainsi, une circonstance indépendante de la volonté des</w:t>
      </w:r>
    </w:p>
    <w:p>
      <w:r>
        <w:t>parties peut constituer un élément nécessaire du contrat. C'est même la</w:t>
      </w:r>
    </w:p>
    <w:p>
      <w:r>
        <w:t>règle, par exemple, dans les affaires où l'erreur porte sur la possibilité</w:t>
      </w:r>
    </w:p>
    <w:p>
      <w:r>
        <w:t>de construire sur un terrain (ATF 109 II 108 cons.4a).</w:t>
      </w:r>
    </w:p>
    <w:p>
      <w:r>
        <w:t>b) En l'espèce, lorsqu'elles ont signé les contrats de vente</w:t>
      </w:r>
    </w:p>
    <w:p>
      <w:r>
        <w:t>immobilière du 29 janvier 1998, les parties étaient certaines de pouvoir</w:t>
      </w:r>
    </w:p>
    <w:p>
      <w:r>
        <w:t>financer en commun la construction, en leur qualité de copropriétaires de</w:t>
      </w:r>
    </w:p>
    <w:p>
      <w:r>
        <w:t>la parcelle à bâtir. Leur conviction reposait sur des éléments concrets, à</w:t>
      </w:r>
    </w:p>
    <w:p>
      <w:r>
        <w:t>savoir d'une part l'obtention du crédit de construction par l'un des</w:t>
      </w:r>
    </w:p>
    <w:p>
      <w:r>
        <w:t>copropriétaires et d'autre part les pourparlers engagés avec les repré-</w:t>
      </w:r>
    </w:p>
    <w:p>
      <w:r>
        <w:t>sentants de l'établissement bancaire, qui savaient que plusieurs pro-</w:t>
      </w:r>
    </w:p>
    <w:p>
      <w:r>
        <w:t>priétaires intervenaient dans le projet et qui n'ont jamais manifesté de</w:t>
      </w:r>
    </w:p>
    <w:p>
      <w:r>
        <w:t>réserve à ce sujet au cours des négociations. Ce n'est qu'à l'envoi du</w:t>
      </w:r>
    </w:p>
    <w:p>
      <w:r>
        <w:t>contrat de crédit que la banque a exigé que le bien-fonds redevienne</w:t>
      </w:r>
    </w:p>
    <w:p>
      <w:r>
        <w:t>propriété unique de la recourante. Il ne fait pas de doute que pour cette</w:t>
      </w:r>
    </w:p>
    <w:p>
      <w:r>
        <w:t>dernière, ainsi que pour ses cocontractants, le financement commun de la</w:t>
      </w:r>
    </w:p>
    <w:p>
      <w:r>
        <w:t>construction constituait une condition sine qua non des ventes stipulées.</w:t>
      </w:r>
    </w:p>
    <w:p>
      <w:r>
        <w:t>On en veut pour preuve que, dès qu'elles ont été informées de l'exigence</w:t>
      </w:r>
    </w:p>
    <w:p>
      <w:r>
        <w:t>posée par la banque, les parties ont non seulement rapidement annulé les</w:t>
      </w:r>
    </w:p>
    <w:p>
      <w:r>
        <w:t>ventes du 29 janvier 1998 mais les ont remplacées par d'autres contrats</w:t>
      </w:r>
    </w:p>
    <w:p>
      <w:r>
        <w:t>leur permettant de maintenir leur objectif initial (le transfert d'appar-</w:t>
      </w:r>
    </w:p>
    <w:p>
      <w:r>
        <w:t>tements en PPE) tout en l'adaptant aux nouvelles circonstances. Il</w:t>
      </w:r>
    </w:p>
    <w:p>
      <w:r>
        <w:t>n'appert pas qu'il leur eût été possible de s'adresser à une autre banque</w:t>
      </w:r>
    </w:p>
    <w:p>
      <w:r>
        <w:t>pour négocier un arrangement conforme à leurs desseins initiaux, ce qui</w:t>
      </w:r>
    </w:p>
    <w:p>
      <w:r>
        <w:t>aurait exclu toute erreur, le fait futur se réalisant alors selon les</w:t>
      </w:r>
    </w:p>
    <w:p>
      <w:r>
        <w:t>attentes des intéressés (ATF 109 II 111 cons.4c). Enfin, l'intimé soutient</w:t>
      </w:r>
    </w:p>
    <w:p>
      <w:r>
        <w:t>à tort que, si les parties avaient considéré le financement commun comme</w:t>
      </w:r>
    </w:p>
    <w:p>
      <w:r>
        <w:t>un élément sine qua non de leur accord, elles auraient pris la précaution</w:t>
      </w:r>
    </w:p>
    <w:p>
      <w:r>
        <w:t>d'intégrer une clause conditionnelle dans les actes notariés. En effet,</w:t>
      </w:r>
    </w:p>
    <w:p>
      <w:r>
        <w:t>celui qui est certain qu'un fait futur se produira ne pense nullement à en</w:t>
      </w:r>
    </w:p>
    <w:p>
      <w:r>
        <w:t>faire une condition dont dépendrait son engagement ou celui de son co-</w:t>
      </w:r>
    </w:p>
    <w:p>
      <w:r>
        <w:t>contractant (ATF 109 II 110 cons.4baa; Schmidlin, op. cit., p.128).</w:t>
      </w:r>
    </w:p>
    <w:p>
      <w:r>
        <w:t>c) En résumé, on doit retenir que lors de la conclusion des</w:t>
      </w:r>
    </w:p>
    <w:p>
      <w:r>
        <w:t>transferts immobiliers du 29 janvier 1998, les parties étaient dans une</w:t>
      </w:r>
    </w:p>
    <w:p>
      <w:r>
        <w:t>erreur essentielle quant à un fait futur qui, faute de s'être réalisé, les</w:t>
      </w:r>
    </w:p>
    <w:p>
      <w:r>
        <w:t>a conduites à annuler les ventes et à les remplacer par les actes du 29</w:t>
      </w:r>
    </w:p>
    <w:p>
      <w:r>
        <w:t>mai 1998. Il se justifie dès lors d'exonérer des lods les acquisitions</w:t>
      </w:r>
    </w:p>
    <w:p>
      <w:r>
        <w:t>faites par la recourante, consistant dans le rachat des parts de co-</w:t>
      </w:r>
    </w:p>
    <w:p>
      <w:r>
        <w:t>propriété. Par ailleurs, la Cour de céans ne peut pas formellement re-</w:t>
      </w:r>
    </w:p>
    <w:p>
      <w:r>
        <w:t>mettre en cause dans la présente procédure - pour les motifs exposés plus</w:t>
      </w:r>
    </w:p>
    <w:p>
      <w:r>
        <w:t>haut (cons.1a) - la perception des lods relatifs aux actes de vente du 29</w:t>
      </w:r>
    </w:p>
    <w:p>
      <w:r>
        <w:t>janvier 1998. Il y a lieu de relever cependant que, s'agissant d'actes</w:t>
      </w:r>
    </w:p>
    <w:p>
      <w:r>
        <w:t>annulés par les parties, ils ne sauraient êtres soumis aux lods. Privé de</w:t>
      </w:r>
    </w:p>
    <w:p>
      <w:r>
        <w:t>sa cause en cas d'annulation de la vente, l'impôt n'est pas dû et doit</w:t>
      </w:r>
    </w:p>
    <w:p>
      <w:r>
        <w:t>être restitué, ainsi que le prévoyait expressément l'article 77 du code</w:t>
      </w:r>
    </w:p>
    <w:p>
      <w:r>
        <w:t>des lods, remplacé par la loi actuelle (RJN 5 III 307, 3 III 267). Les</w:t>
      </w:r>
    </w:p>
    <w:p>
      <w:r>
        <w:t>parties ayant toutefois passé ensuite des actes de vente à terme d'unités</w:t>
      </w:r>
    </w:p>
    <w:p>
      <w:r>
        <w:t>de PPE, soumises aux lods, ceux-ci sont susceptibles d'être imputés sur</w:t>
      </w:r>
    </w:p>
    <w:p>
      <w:r>
        <w:t>les montants déjà payés à l'occasion des ventes du 29 janvier 1998.</w:t>
      </w:r>
    </w:p>
    <w:p>
      <w:r>
        <w:t>3.      Il découle de ce qui précède que le recours, dans la mesure où</w:t>
      </w:r>
    </w:p>
    <w:p>
      <w:r>
        <w:t>il est recevable, est bien fondé et que la décision attaquée doit être</w:t>
      </w:r>
    </w:p>
    <w:p>
      <w:r>
        <w:t>annulée. Il sera statué sans frais, les autorités cantonales n'en payant</w:t>
      </w:r>
    </w:p>
    <w:p>
      <w:r>
        <w:t>pas (art.47 al.2 LPJA). La recourante a en outre droit à des dépens</w:t>
      </w:r>
    </w:p>
    <w:p>
      <w:r>
        <w:t>(art.48 LPJA).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