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TA.1998.8 vom 11. März 1998</w:t>
      </w:r>
    </w:p>
    <w:p>
      <w:r>
        <w:t>NE Tribunal cantonal, 1998-03-11, FR</w:t>
      </w:r>
    </w:p>
    <w:p>
      <w:r>
        <w:rPr>
          <w:b/>
        </w:rPr>
        <w:t xml:space="preserve">Quelle: </w:t>
      </w:r>
      <w:r>
        <w:t>https://mcp.opencaselaw.ch/entscheid/ne_gerichte_TA.1998.8</w:t>
      </w:r>
    </w:p>
    <w:p>
      <w:r>
        <w:t>FR: NE_GERICHTE TA.1998.8 du 11 mars 1998</w:t>
      </w:r>
    </w:p>
    <w:p>
      <w:r>
        <w:t>IT: NE_GERICHTE TA.1998.8 del 11 marzo 1998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de la loi sus-</w:t>
      </w:r>
    </w:p>
    <w:p>
      <w:r>
        <w:t>mentionné, du 12 mars 1984, lorsqu'une donation entre vifs ou toute autre</w:t>
      </w:r>
    </w:p>
    <w:p>
      <w:r>
        <w:t>transmission d'un bien à titre gratuit porte sur un immeuble sis dans le</w:t>
      </w:r>
    </w:p>
    <w:p>
      <w:r>
        <w:t>canton, le droit de donation et l'émolument de dévolution d'hérédité sont</w:t>
      </w:r>
    </w:p>
    <w:p>
      <w:r>
        <w:t>calculés sur la base de l'estimation cadastrale même si la valeur attri-</w:t>
      </w:r>
    </w:p>
    <w:p>
      <w:r>
        <w:t>buée à l'immeuble par les parties est différente (art.1 al.1).</w:t>
      </w:r>
    </w:p>
    <w:p>
      <w:r>
        <w:t>3.      En l'espèce, l'autorité inférieure de recours a parfaitement</w:t>
      </w:r>
    </w:p>
    <w:p>
      <w:r>
        <w:t>circonscrit la question litigieuse qui consiste à examiner si le recourant</w:t>
      </w:r>
    </w:p>
    <w:p>
      <w:r>
        <w:t>a accordé, au sens de l'article 6 de la loi précitée, une libéralité à sa</w:t>
      </w:r>
    </w:p>
    <w:p>
      <w:r>
        <w:t>fille en fixant le prix de l'immeuble au-dessous de l'estimation cadas-</w:t>
      </w:r>
    </w:p>
    <w:p>
      <w:r>
        <w:t>trale, en d'autres termes si l'acte intitulé comme une vente n'est pas en</w:t>
      </w:r>
    </w:p>
    <w:p>
      <w:r>
        <w:t>réalité une donation mixte, à savoir un complexe de deux actes juridiques</w:t>
      </w:r>
    </w:p>
    <w:p>
      <w:r>
        <w:t>différents : d'un part, un contrat bilatéral à titre onéreux (une vente)</w:t>
      </w:r>
    </w:p>
    <w:p>
      <w:r>
        <w:t>et, d'autre part, une donation.</w:t>
      </w:r>
    </w:p>
    <w:p>
      <w:r>
        <w:t>a) Le département a tout d'abord relevé que la question ne</w:t>
      </w:r>
    </w:p>
    <w:p>
      <w:r>
        <w:t>devait pas être tranchée selon le critère de la volonté de donner du</w:t>
      </w:r>
    </w:p>
    <w:p>
      <w:r>
        <w:t>vendeur de l'immeuble, l'"animus donandi" n'étant pas déterminante selon</w:t>
      </w:r>
    </w:p>
    <w:p>
      <w:r>
        <w:t>le droit fiscal qui doit s'en tenir à des critères objectifs; sont ainsi</w:t>
      </w:r>
    </w:p>
    <w:p>
      <w:r>
        <w:t>seuls décisifs l'existence d'un acte de disposition, l'enrichissement</w:t>
      </w:r>
    </w:p>
    <w:p>
      <w:r>
        <w:t>provenant de la fortune d'un tiers et la gratuité; si ces trois éléments</w:t>
      </w:r>
    </w:p>
    <w:p>
      <w:r>
        <w:t>sont réunis, il y a une donation au sens du droit fiscal (Höhn /</w:t>
      </w:r>
    </w:p>
    <w:p>
      <w:r>
        <w:t>Waldburger, Steuerrecht, 8e éd., p.370).En réalité, si telle est</w:t>
      </w:r>
    </w:p>
    <w:p>
      <w:r>
        <w:t>l'opinion de ces derniers auteurs, ceux-ci ne soulignent pas moins que le</w:t>
      </w:r>
    </w:p>
    <w:p>
      <w:r>
        <w:t>point de savoir si l'"animus donandi" est une circonstance à prendre en</w:t>
      </w:r>
    </w:p>
    <w:p>
      <w:r>
        <w:t>compte ou non est controversée dans la doctrine et citent les auteurs pour</w:t>
      </w:r>
    </w:p>
    <w:p>
      <w:r>
        <w:t>lesquels celle-ci doit l'être.</w:t>
      </w:r>
    </w:p>
    <w:p>
      <w:r>
        <w:t>Dès lors, à la doctrine divisée, il y a lieu de préférer la</w:t>
      </w:r>
    </w:p>
    <w:p>
      <w:r>
        <w:t>jurisprudence du Tribunal fédéral qui n'a pas varié sur ce sujet. Ayant eu</w:t>
      </w:r>
    </w:p>
    <w:p>
      <w:r>
        <w:t>à se pencher sur des dispositions cantonales similaires à celle de</w:t>
      </w:r>
    </w:p>
    <w:p>
      <w:r>
        <w:t>l'article 6 de la loi neuchâteloise précitée, la Haute Cour a jugé que si</w:t>
      </w:r>
    </w:p>
    <w:p>
      <w:r>
        <w:t>la notion de donation en droit fiscal ne devait pas nécessairement se</w:t>
      </w:r>
    </w:p>
    <w:p>
      <w:r>
        <w:t>confondre avec celle du droit civil, elle ne pouvait cependant s'inter-</w:t>
      </w:r>
    </w:p>
    <w:p>
      <w:r>
        <w:t>préter en faisant abstraction de toute "intention de donner", sans quoi</w:t>
      </w:r>
    </w:p>
    <w:p>
      <w:r>
        <w:t>elle ne répondrait ni au sens ni à la finalité voulus par la loi (ATF 118</w:t>
      </w:r>
    </w:p>
    <w:p>
      <w:r>
        <w:t>Ia 501, 102 Ia 426, 98 Ia 263, 65 I 212).Elle a ainsi considéré que</w:t>
      </w:r>
    </w:p>
    <w:p>
      <w:r>
        <w:t>chaque achat favorable ne pouvait être assimilé à une donation indépen-</w:t>
      </w:r>
    </w:p>
    <w:p>
      <w:r>
        <w:t>damment des circonstances concrètes et de l'absence de toute volonté</w:t>
      </w:r>
    </w:p>
    <w:p>
      <w:r>
        <w:t>d'effectuer une libéralité; le fait que le prix de vente se situe au-</w:t>
      </w:r>
    </w:p>
    <w:p>
      <w:r>
        <w:t>dessous de la valeur vénale objective, respectivement de la valeur cadas-</w:t>
      </w:r>
    </w:p>
    <w:p>
      <w:r>
        <w:t>trale, ne permet pas à lui seul de conclure à l'existence d'une intention</w:t>
      </w:r>
    </w:p>
    <w:p>
      <w:r>
        <w:t>de consentir une libéralité qui ferait apparaître l'opération comme une</w:t>
      </w:r>
    </w:p>
    <w:p>
      <w:r>
        <w:t>donation mixte soumise à émolument; dans la formation du prix d'autres</w:t>
      </w:r>
    </w:p>
    <w:p>
      <w:r>
        <w:t>motifs peuvent intervenir que la volonté de procéder à une attribution</w:t>
      </w:r>
    </w:p>
    <w:p>
      <w:r>
        <w:t>gratuite ou partiellement gratuite, laquelle volonté est une condition</w:t>
      </w:r>
    </w:p>
    <w:p>
      <w:r>
        <w:t>indispensable à l'assujettissement de la taxe sur les donations. Aussi le</w:t>
      </w:r>
    </w:p>
    <w:p>
      <w:r>
        <w:t>Tribunal fédéral a-t-il tenu pour arbitraire de percevoir un émolument sur</w:t>
      </w:r>
    </w:p>
    <w:p>
      <w:r>
        <w:t>la donation en se fondant uniquement sur la différence objective entre la</w:t>
      </w:r>
    </w:p>
    <w:p>
      <w:r>
        <w:t>prestation et la contre-prestation, sans examiner s'il existe ou non</w:t>
      </w:r>
    </w:p>
    <w:p>
      <w:r>
        <w:t>l'intention de donner (ATF 118 Ia 497).</w:t>
      </w:r>
    </w:p>
    <w:p>
      <w:r>
        <w:t>En l'occurrence, la décision entreprise en tant qu'elle assimile</w:t>
      </w:r>
    </w:p>
    <w:p>
      <w:r>
        <w:t>la transaction du 13 avril 1995 à une donation mixte du recourant en</w:t>
      </w:r>
    </w:p>
    <w:p>
      <w:r>
        <w:t>faveur de sa fille en raison de la seule disparité existant entre le prix</w:t>
      </w:r>
    </w:p>
    <w:p>
      <w:r>
        <w:t>de vente et celui de la valeur cadastrale de l'immeuble cédé ne peut donc</w:t>
      </w:r>
    </w:p>
    <w:p>
      <w:r>
        <w:t>être confirmée.</w:t>
      </w:r>
    </w:p>
    <w:p>
      <w:r>
        <w:t>b) A l'appui du prononcé entrepris, l'autorité inférieure de</w:t>
      </w:r>
    </w:p>
    <w:p>
      <w:r>
        <w:t>recours invoque également l'article 1 al.1 de l'arrêté d'exécution des</w:t>
      </w:r>
    </w:p>
    <w:p>
      <w:r>
        <w:t>articles 6 et 7 de la loi du 10 novembre 1920, selon lequel le droit de</w:t>
      </w:r>
    </w:p>
    <w:p>
      <w:r>
        <w:t>donation est calculé sur la base de l'estimation cadastrale. Ce moyen ne</w:t>
      </w:r>
    </w:p>
    <w:p>
      <w:r>
        <w:t>lui est d'aucun secours. Le Tribunal fédéral a considéré que l'on ne</w:t>
      </w:r>
    </w:p>
    <w:p>
      <w:r>
        <w:t>pouvait déduire d'une disposition analogue de la législation bernoise que</w:t>
      </w:r>
    </w:p>
    <w:p>
      <w:r>
        <w:t>tout achat à un prix inférieur à l'estimation cadastrale était en soi une</w:t>
      </w:r>
    </w:p>
    <w:p>
      <w:r>
        <w:t>circonstance de nature à entraîner l'assujettissement à l'émolument sur</w:t>
      </w:r>
    </w:p>
    <w:p>
      <w:r>
        <w:t>les donations mais que la disposition en question n'avait d'autre fin, une</w:t>
      </w:r>
    </w:p>
    <w:p>
      <w:r>
        <w:t>fois la donation portant sur un immeuble établie, que de préciser que</w:t>
      </w:r>
    </w:p>
    <w:p>
      <w:r>
        <w:t>l'impôt devait se calculer selon l'estimation cadastrale et non point</w:t>
      </w:r>
    </w:p>
    <w:p>
      <w:r>
        <w:t>selon d'autres estimations (ATF 118 Ia 502-503).</w:t>
      </w:r>
    </w:p>
    <w:p>
      <w:r>
        <w:t>4.      Cela étant, il reste à examiner, ce que n'ont pas fait les</w:t>
      </w:r>
    </w:p>
    <w:p>
      <w:r>
        <w:t>autorités inférieures, si le recourant peut invoquer des motifs rationnels</w:t>
      </w:r>
    </w:p>
    <w:p>
      <w:r>
        <w:t>qui l'ont conduit à convenir avec sa fille d'un prix de vente de</w:t>
      </w:r>
    </w:p>
    <w:p>
      <w:r>
        <w:t>l'immeuble inférieur à celui de sa valeur cadastrale. L'intéressé s'en</w:t>
      </w:r>
    </w:p>
    <w:p>
      <w:r>
        <w:t>explique en relevant que des travaux importants de réfection de la maison</w:t>
      </w:r>
    </w:p>
    <w:p>
      <w:r>
        <w:t>d'habitation, qui n'avait pratiquement plus été entretenue depuis sa</w:t>
      </w:r>
    </w:p>
    <w:p>
      <w:r>
        <w:t>construction en 1946, se sont révélés nécessaires déjà avant son</w:t>
      </w:r>
    </w:p>
    <w:p>
      <w:r>
        <w:t>acquisition. Ces faits sont avérés, puisque, selon le bureau d'architecte</w:t>
      </w:r>
    </w:p>
    <w:p>
      <w:r>
        <w:t>E. SA les travaux de remise en état devisés en octobre 1994 à 400'000</w:t>
      </w:r>
    </w:p>
    <w:p>
      <w:r>
        <w:t>francs visaient à rendre la maison habitable selon les critères actuels de</w:t>
      </w:r>
    </w:p>
    <w:p>
      <w:r>
        <w:t>confort et d'économie d'énergie, que les installations de sanitaire, de</w:t>
      </w:r>
    </w:p>
    <w:p>
      <w:r>
        <w:t>chauffage et d'électricité étaient très sommaires et ne respectaient plus</w:t>
      </w:r>
    </w:p>
    <w:p>
      <w:r>
        <w:t>les règlements en vigueur et que les travaux envisagés étaient les</w:t>
      </w:r>
    </w:p>
    <w:p>
      <w:r>
        <w:t>premiers entrepris depuis la construction de l'immeuble (lettre du</w:t>
      </w:r>
    </w:p>
    <w:p>
      <w:r>
        <w:t>13.03.1996). Par ailleurs, à l'issue desdits travaux, l'estimation ca-</w:t>
      </w:r>
    </w:p>
    <w:p>
      <w:r>
        <w:t>dastrale a été révisée et élevée à 594'000 francs le 15 décembre 1995, de</w:t>
      </w:r>
    </w:p>
    <w:p>
      <w:r>
        <w:t>sorte qu'on peut admettre qu'une grande part de l'investissement consacré</w:t>
      </w:r>
    </w:p>
    <w:p>
      <w:r>
        <w:t>à cet immeuble après sa vente a consisté dans des travaux d'entretien.</w:t>
      </w:r>
    </w:p>
    <w:p>
      <w:r>
        <w:t>Dans ces conditions, il n'est pas douteux que l'état de la maison et les</w:t>
      </w:r>
    </w:p>
    <w:p>
      <w:r>
        <w:t>travaux de réfection coûteux qu'elle occasionnerait, au moment de la</w:t>
      </w:r>
    </w:p>
    <w:p>
      <w:r>
        <w:t>passation de l'acte, ont joué un rôle déterminant dans la fixation du prix</w:t>
      </w:r>
    </w:p>
    <w:p>
      <w:r>
        <w:t>de vente. Au vu du prix de ces travaux, de telles circonstances</w:t>
      </w:r>
    </w:p>
    <w:p>
      <w:r>
        <w:t>justifiaient économiquement et objectivement qu'un tel prix fût arrêté en</w:t>
      </w:r>
    </w:p>
    <w:p>
      <w:r>
        <w:t>la cause au-dessous de la valeur cadastrale, sans que le lien de parenté</w:t>
      </w:r>
    </w:p>
    <w:p>
      <w:r>
        <w:t>entre le recourant et sa fille - qui constitue en principe un indice d'une</w:t>
      </w:r>
    </w:p>
    <w:p>
      <w:r>
        <w:t>libéralité - ne permette d'aboutir à une autre conclusion.</w:t>
      </w:r>
    </w:p>
    <w:p>
      <w:r>
        <w:t>5.      Il suit de là que le recours, bien fondé, doit être admis et que</w:t>
      </w:r>
    </w:p>
    <w:p>
      <w:r>
        <w:t>le prononcé entrepris ainsi que la décision de l'office des droits de mu-</w:t>
      </w:r>
    </w:p>
    <w:p>
      <w:r>
        <w:t>tation doivent être annulés. Vu le sort de la cause, il est statué sans</w:t>
      </w:r>
    </w:p>
    <w:p>
      <w:r>
        <w:t>frais (art.47 al.1 LPJA) et des dépens sont alloués au recourant pour les</w:t>
      </w:r>
    </w:p>
    <w:p>
      <w:r>
        <w:t>deux instances de recours.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