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TA.1997.314 vom 11. November 1997</w:t>
      </w:r>
    </w:p>
    <w:p>
      <w:r>
        <w:t>NE Tribunal cantonal, 1997-11-11, FR</w:t>
      </w:r>
    </w:p>
    <w:p>
      <w:r>
        <w:rPr>
          <w:b/>
        </w:rPr>
        <w:t xml:space="preserve">Quelle: </w:t>
      </w:r>
      <w:r>
        <w:t>https://mcp.opencaselaw.ch/entscheid/ne_gerichte_TA.1997.314</w:t>
      </w:r>
    </w:p>
    <w:p>
      <w:r>
        <w:t>FR: NE_GERICHTE TA.1997.314 du 11 novembre 1997</w:t>
      </w:r>
    </w:p>
    <w:p>
      <w:r>
        <w:t>IT: NE_GERICHTE TA.1997.314 del 11 novembre 1997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de la Constitution fédérale, elle dépend aussi du principe de</w:t>
      </w:r>
    </w:p>
    <w:p>
      <w:r>
        <w:t>la légalité (ATF 100 Ia 139; RJN 1995, p.201). Selon ce dernier principe,</w:t>
      </w:r>
    </w:p>
    <w:p>
      <w:r>
        <w:t>une taxe - à l'exclusion d'un émolument de chancellerie - ne peut être</w:t>
      </w:r>
    </w:p>
    <w:p>
      <w:r>
        <w:t>perçue que sur la base et dans le cadre d'une loi au sens formel. Il in-</w:t>
      </w:r>
    </w:p>
    <w:p>
      <w:r>
        <w:t>combe donc au législateur de définir le cercle des personnes visées,</w:t>
      </w:r>
    </w:p>
    <w:p>
      <w:r>
        <w:t>l'objet de la taxe et son mode de calcul, seules les questions secondaires</w:t>
      </w:r>
    </w:p>
    <w:p>
      <w:r>
        <w:t>pouvant être tranchées par une autre autorité sur délégation (ATF 120 Ia</w:t>
      </w:r>
    </w:p>
    <w:p>
      <w:r>
        <w:t>3, 106 Ia 250, 105 Ia 4). Normalement, lorsque le législateur délègue ses</w:t>
      </w:r>
    </w:p>
    <w:p>
      <w:r>
        <w:t>pouvoirs, il doit fixer lui-même le montant maximum de la taxe (ATF 106 Ia</w:t>
      </w:r>
    </w:p>
    <w:p>
      <w:r>
        <w:t>250).</w:t>
      </w:r>
    </w:p>
    <w:p>
      <w:r>
        <w:t>b) Le recourant prétend en particulier que le principe de la</w:t>
      </w:r>
    </w:p>
    <w:p>
      <w:r>
        <w:t>légalité n'a pas été respecté en la cause. Avec raison.</w:t>
      </w:r>
    </w:p>
    <w:p>
      <w:r>
        <w:t>Il appert en effet que l'arrêté du Conseil général d'Hauterive</w:t>
      </w:r>
    </w:p>
    <w:p>
      <w:r>
        <w:t>du 12 décembre 1990, qui traite des taxes pouvant être prélevées dans le</w:t>
      </w:r>
    </w:p>
    <w:p>
      <w:r>
        <w:t>port, prévoit que la taxe d'amarrage annuelle sur le plan d'eau est dé-</w:t>
      </w:r>
    </w:p>
    <w:p>
      <w:r>
        <w:t>terminée par la surface attribuée et qu'elle est de 20 francs par m2 pour</w:t>
      </w:r>
    </w:p>
    <w:p>
      <w:r>
        <w:t>les habitants d'Hauterive, de 35 francs par m2 pour les habitants du can-</w:t>
      </w:r>
    </w:p>
    <w:p>
      <w:r>
        <w:t>ton de Neuchâtel et de 50 francs par m2 pour les autres personnes (art.1).</w:t>
      </w:r>
    </w:p>
    <w:p>
      <w:r>
        <w:t>Il ne prévoit cependant aucune taxe spéciale pour l'utilisation d'une</w:t>
      </w:r>
    </w:p>
    <w:p>
      <w:r>
        <w:t>place d'amarrage à des fins professionnelles. Certes, sur ce point, l'in-</w:t>
      </w:r>
    </w:p>
    <w:p>
      <w:r>
        <w:t>timé a cru pouvoir se fonder sur l'article 6 du règlement du port</w:t>
      </w:r>
    </w:p>
    <w:p>
      <w:r>
        <w:t>d'Hauterive - stipulant que l'usage des places, bâtiments et installations</w:t>
      </w:r>
    </w:p>
    <w:p>
      <w:r>
        <w:t>du port par des pêcheurs professionnels ou des personnes exerçant une pro-</w:t>
      </w:r>
    </w:p>
    <w:p>
      <w:r>
        <w:t>fession navale fait l'objet d'un contrat particulier entre la commune et</w:t>
      </w:r>
    </w:p>
    <w:p>
      <w:r>
        <w:t>les locataires exploitants - pour fixer librement la taxe du recourant qui</w:t>
      </w:r>
    </w:p>
    <w:p>
      <w:r>
        <w:t>exploite déjà une école de bateau à voile et souhaite au surplus exploiter</w:t>
      </w:r>
    </w:p>
    <w:p>
      <w:r>
        <w:t>une école de bateau à moteur. En réalité le contrat particulier au sens de</w:t>
      </w:r>
    </w:p>
    <w:p>
      <w:r>
        <w:t>cette disposition et qui n'a du reste pas été soumis à la conclusion du</w:t>
      </w:r>
    </w:p>
    <w:p>
      <w:r>
        <w:t>recourant qui s'est vu remettre un projet de contrat standard identique à</w:t>
      </w:r>
    </w:p>
    <w:p>
      <w:r>
        <w:t>ceux qui concernent les places louées par la navigation de plaisance, a</w:t>
      </w:r>
    </w:p>
    <w:p>
      <w:r>
        <w:t>essentiellement pour objet de convenir des modalités permettant de conci-</w:t>
      </w:r>
    </w:p>
    <w:p>
      <w:r>
        <w:t>lier l'exercice des professions des locataires concernés avec une exploi-</w:t>
      </w:r>
    </w:p>
    <w:p>
      <w:r>
        <w:t>tation normale du port et de déterminer à ces fins l'étendue de l'usage</w:t>
      </w:r>
    </w:p>
    <w:p>
      <w:r>
        <w:t>commun accru qui leur est accordé. Il ne saurait par contre constituer le</w:t>
      </w:r>
    </w:p>
    <w:p>
      <w:r>
        <w:t>fondement idoine pour la perception d'une taxe spéciale puisque, on l'a</w:t>
      </w:r>
    </w:p>
    <w:p>
      <w:r>
        <w:t>vu, celui-ci ne peut être que la loi elle-même ou une délégation législa-</w:t>
      </w:r>
    </w:p>
    <w:p>
      <w:r>
        <w:t>tive fixant précisément les principes de la taxation à adopter. Or, comme</w:t>
      </w:r>
    </w:p>
    <w:p>
      <w:r>
        <w:t>l'article</w:t>
      </w:r>
    </w:p>
    <w:p>
      <w:r>
        <w:rPr>
          <w:b/>
        </w:rPr>
        <w:t>E. 6</w:t>
      </w:r>
    </w:p>
    <w:p>
      <w:r>
        <w:t>du règlement ne dispose nullement que les locataires exploi-</w:t>
      </w:r>
    </w:p>
    <w:p>
      <w:r>
        <w:t>tants sont soumis à une taxe spéciale, ni à fortiori n'indique la manière</w:t>
      </w:r>
    </w:p>
    <w:p>
      <w:r>
        <w:t>dont celle-ci doit être calculée, force est de constater que le principe</w:t>
      </w:r>
    </w:p>
    <w:p>
      <w:r>
        <w:t>de la légalité a été violé par l'autorité exécutive communale qui, sans</w:t>
      </w:r>
    </w:p>
    <w:p>
      <w:r>
        <w:t>s'appuyer sur un texte légal, ne pouvait déterminer de son chef le montant</w:t>
      </w:r>
    </w:p>
    <w:p>
      <w:r>
        <w:t>de la taxe qu'elle a exigée (ATF 103 Ia 243, 95 I 243).</w:t>
      </w:r>
    </w:p>
    <w:p>
      <w:r>
        <w:t>Il suit de là que le recourant était légitimé à s'opposer à la</w:t>
      </w:r>
    </w:p>
    <w:p>
      <w:r>
        <w:t>redevance que lui réclamait l'intimé et que ce dernier ne pouvait exciper</w:t>
      </w:r>
    </w:p>
    <w:p>
      <w:r>
        <w:t>de l'exercice par l'intéressé de ce moyen de droit expressément prévu par</w:t>
      </w:r>
    </w:p>
    <w:p>
      <w:r>
        <w:t>le règlement du port d'Hauterive pour considérer qu'il persistait "à ne</w:t>
      </w:r>
    </w:p>
    <w:p>
      <w:r>
        <w:t>pas vouloir se plier audit règlement et aux décisions du Conseil commu-</w:t>
      </w:r>
    </w:p>
    <w:p>
      <w:r>
        <w:t>nal", pour lui refuser en définitive l'attribution de la place d'amarrage</w:t>
      </w:r>
    </w:p>
    <w:p>
      <w:r>
        <w:t>no 402.</w:t>
      </w:r>
    </w:p>
    <w:p>
      <w:r>
        <w:t>c) Dans ses observations, l'intimé n'est pas plus heureux en</w:t>
      </w:r>
    </w:p>
    <w:p>
      <w:r>
        <w:t>justifiant sa décision au motif que l'intéressé n'a aucun droit à l'octroi</w:t>
      </w:r>
    </w:p>
    <w:p>
      <w:r>
        <w:t>d'une autorisation et qu'en particulier il ne saurait se prévaloir de la</w:t>
      </w:r>
    </w:p>
    <w:p>
      <w:r>
        <w:t>liberté du commerce et de l'industrie pour bénéficier d'un usage accru du</w:t>
      </w:r>
    </w:p>
    <w:p>
      <w:r>
        <w:t>domaine public aux fins d'y exercer une activité lucrative profession-</w:t>
      </w:r>
    </w:p>
    <w:p>
      <w:r>
        <w:t>nelle.</w:t>
      </w:r>
    </w:p>
    <w:p>
      <w:r>
        <w:t>On retiendra tout d'abord qu'en ce qui concerne les conditions</w:t>
      </w:r>
    </w:p>
    <w:p>
      <w:r>
        <w:t>financières posées pour l'octroi de l'autorisation par l'autorité, le</w:t>
      </w:r>
    </w:p>
    <w:p>
      <w:r>
        <w:t>principe de la légalité des actes administratifs reste valable, indépen-</w:t>
      </w:r>
    </w:p>
    <w:p>
      <w:r>
        <w:t>damment du point de savoir s'il existe un droit à obtenir l'autorisation,</w:t>
      </w:r>
    </w:p>
    <w:p>
      <w:r>
        <w:t>puisqu'on ne peut en particulier prélever des contributions publiques, à</w:t>
      </w:r>
    </w:p>
    <w:p>
      <w:r>
        <w:t>l'exception de simples émoluments de chancellerie, que si celles-ci sont</w:t>
      </w:r>
    </w:p>
    <w:p>
      <w:r>
        <w:t>prévues par la loi et seulement dans la mesure fixée par elle (ATF 95 I</w:t>
      </w:r>
    </w:p>
    <w:p>
      <w:r>
        <w:t>243). D'autre part, selon la jurisprudence actuelle, les administrés qui</w:t>
      </w:r>
    </w:p>
    <w:p>
      <w:r>
        <w:t>requièrent l'autorisation d'utiliser de façon accrue le domaine public,</w:t>
      </w:r>
    </w:p>
    <w:p>
      <w:r>
        <w:t>peuvent se prévaloir des droits et des principes constitutionnels (Grisel,</w:t>
      </w:r>
    </w:p>
    <w:p>
      <w:r>
        <w:t>op.cit.,p.555). Il est vrai que tel n'était pas le cas naguère. A plu-</w:t>
      </w:r>
    </w:p>
    <w:p>
      <w:r>
        <w:t>sieurs reprises, le Tribunal fédéral avait dénié aux administrés la fa-</w:t>
      </w:r>
    </w:p>
    <w:p>
      <w:r>
        <w:t>culté de se fonder sur la liberté du commerce et de l'industrie pour user</w:t>
      </w:r>
    </w:p>
    <w:p>
      <w:r>
        <w:t>du domaine public à des fins professionnelles dans une mesure accrue (ATF</w:t>
      </w:r>
    </w:p>
    <w:p>
      <w:r>
        <w:t>97 I 655, 81 I 18, 73 I 215). Cependant, après avoir hésité à maintenir ce</w:t>
      </w:r>
    </w:p>
    <w:p>
      <w:r>
        <w:t>point de vue (ATF 99 Ia 385), il s'en est définitivement écarté, en re-</w:t>
      </w:r>
    </w:p>
    <w:p>
      <w:r>
        <w:t>connaissant aux administrés un droit à l'obtention d'une autorisation (ATF</w:t>
      </w:r>
    </w:p>
    <w:p>
      <w:r>
        <w:t>108 Ia 136, 104 Ia 177, 101 Ia 480). Enfin, il va sans dire que même si</w:t>
      </w:r>
    </w:p>
    <w:p>
      <w:r>
        <w:t>l'autorité dispose d'un large pouvoir appréciateur dans l'octroi de telles</w:t>
      </w:r>
    </w:p>
    <w:p>
      <w:r>
        <w:t>autorisations, elle ne doit pas moins se conformer, en ce domaine égale-</w:t>
      </w:r>
    </w:p>
    <w:p>
      <w:r>
        <w:t>ment, aux principes généraux de l'activité administrative, savoir l'in-</w:t>
      </w:r>
    </w:p>
    <w:p>
      <w:r>
        <w:t>terdiction de l'arbitraire, le droit à l'égalité, le droit à la protection</w:t>
      </w:r>
    </w:p>
    <w:p>
      <w:r>
        <w:t>de la bonne foi et le principe de la proportionnalité. L'autorité ne peut</w:t>
      </w:r>
    </w:p>
    <w:p>
      <w:r>
        <w:t>donc agir à sa guise; c'est ainsi notamment que si plusieurs administrés</w:t>
      </w:r>
    </w:p>
    <w:p>
      <w:r>
        <w:t>souhaitent faire un usage accru d'une même partie du domaine public, elle</w:t>
      </w:r>
    </w:p>
    <w:p>
      <w:r>
        <w:t>devra choisir entre eux selon des critères objectifs et les appliquer</w:t>
      </w:r>
    </w:p>
    <w:p>
      <w:r>
        <w:t>d'une manière non arbitraire (ATF 99 Ia 399).</w:t>
      </w:r>
    </w:p>
    <w:p>
      <w:r>
        <w:t>3.      a) Il apparaît ainsi manifeste qu'en refusant l'autorisation</w:t>
      </w:r>
    </w:p>
    <w:p>
      <w:r>
        <w:t>sollicitée aux motifs que les taxes pour les places d'amarrage de loca-</w:t>
      </w:r>
    </w:p>
    <w:p>
      <w:r>
        <w:t>taires exploitants peuvent être fixées librement en l'absence de toute</w:t>
      </w:r>
    </w:p>
    <w:p>
      <w:r>
        <w:t>base légale, que de tels administrés n'ont aucun droit à l'obtention d'une</w:t>
      </w:r>
    </w:p>
    <w:p>
      <w:r>
        <w:t>autorisation et que le recourant a fait preuve d'insubordination en usant</w:t>
      </w:r>
    </w:p>
    <w:p>
      <w:r>
        <w:t>d'une voie de droit qui lui est pourtant reconnue par la législation,</w:t>
      </w:r>
    </w:p>
    <w:p>
      <w:r>
        <w:t>l'intimé a rendu une décision dépourvue de toute pertinence, laquelle dé-</w:t>
      </w:r>
    </w:p>
    <w:p>
      <w:r>
        <w:t>cision, partant, doit être annulée.</w:t>
      </w:r>
    </w:p>
    <w:p>
      <w:r>
        <w:t>b) La cause doit donc être renvoyée à l'autorité intimée pour</w:t>
      </w:r>
    </w:p>
    <w:p>
      <w:r>
        <w:t>nouvelle décision au sens des considérants. A cet égard, il lui appartien-</w:t>
      </w:r>
    </w:p>
    <w:p>
      <w:r>
        <w:t>dra, si elle devait maintenir son refus d'autorisation, de le motiver à</w:t>
      </w:r>
    </w:p>
    <w:p>
      <w:r>
        <w:t>satisfaction de droit, c'est-à-dire en se fondant sur des critères objec-</w:t>
      </w:r>
    </w:p>
    <w:p>
      <w:r>
        <w:t>tifs, en démontrant cas échéant et par exemple que l'usage commun accru à</w:t>
      </w:r>
    </w:p>
    <w:p>
      <w:r>
        <w:t>des fins professionnelles que sollicite le recourant n'est pas conforme à</w:t>
      </w:r>
    </w:p>
    <w:p>
      <w:r>
        <w:t>la destination du domaine public en cause. De plus, si elle veut prélever</w:t>
      </w:r>
    </w:p>
    <w:p>
      <w:r>
        <w:t>des taxes spéciales pour l'amarrage de bateaux destinés à l'exercice d'une</w:t>
      </w:r>
    </w:p>
    <w:p>
      <w:r>
        <w:t>profession, ce que n'exclut pas l'article 6 du règlement pour autant qu'un</w:t>
      </w:r>
    </w:p>
    <w:p>
      <w:r>
        <w:t>contrat de location particulier soit conclu à cet effet, elle aura à obte-</w:t>
      </w:r>
    </w:p>
    <w:p>
      <w:r>
        <w:t>nir du Conseil général qu'il en fixe le montant dans l'arrêté idoine rela-</w:t>
      </w:r>
    </w:p>
    <w:p>
      <w:r>
        <w:t>tif aux taxes perçues dans le port d'Hauterive conformément aux principes</w:t>
      </w:r>
    </w:p>
    <w:p>
      <w:r>
        <w:t>régissant la validité de tels émoluments ou qu'il l'habilite à le faire</w:t>
      </w:r>
    </w:p>
    <w:p>
      <w:r>
        <w:t>dans une délégation législative spécifique déterminant précisément les</w:t>
      </w:r>
    </w:p>
    <w:p>
      <w:r>
        <w:t>modalités de cette taxation.</w:t>
      </w:r>
    </w:p>
    <w:p>
      <w:r>
        <w:t>4.      Il est statué sans frais, les autorités cantonales et communales</w:t>
      </w:r>
    </w:p>
    <w:p>
      <w:r>
        <w:t>en étant dispensées (art.47 al.2 LPJA). Le recourant ne peut prétendre des</w:t>
      </w:r>
    </w:p>
    <w:p>
      <w:r>
        <w:t>dépens du moment qu'il n'a pas assumé de dépenses particulières pour la</w:t>
      </w:r>
    </w:p>
    <w:p>
      <w:r>
        <w:t>sauvegarde de ses intérêts.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