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TA.1996.108 vom 25. Juni 1996</w:t>
      </w:r>
    </w:p>
    <w:p>
      <w:r>
        <w:t>NE Tribunal cantonal, 1996-06-25, FR</w:t>
      </w:r>
    </w:p>
    <w:p>
      <w:r>
        <w:rPr>
          <w:b/>
        </w:rPr>
        <w:t xml:space="preserve">Quelle: </w:t>
      </w:r>
      <w:r>
        <w:t>https://mcp.opencaselaw.ch/entscheid/ne_gerichte_TA.1996.108</w:t>
      </w:r>
    </w:p>
    <w:p>
      <w:r>
        <w:t>FR: NE_GERICHTE TA.1996.108 du 25 juin 1996</w:t>
      </w:r>
    </w:p>
    <w:p>
      <w:r>
        <w:t>IT: NE_GERICHTE TA.1996.108 del 25 giugno 1996</w:t>
      </w:r>
    </w:p>
    <w:p>
      <w:pPr>
        <w:pStyle w:val="Heading2"/>
      </w:pPr>
      <w:r>
        <w:t>Erwägungen</w:t>
      </w:r>
    </w:p>
    <w:p>
      <w:r>
        <w:rPr>
          <w:b/>
        </w:rPr>
        <w:t>E. 2</w:t>
      </w:r>
    </w:p>
    <w:p>
      <w:r>
        <w:t>C'est par ailleurs en vain que le département invoque les dispo- sitions légales sur les mesures de contrainte en matière de droit des étrangers. Le recourant, dans ses recours du 1er avril et dans sa demande du 2 avril, était à l'évidence surtout intéressé à obtenir la suspension immédiate du refoulement envisagé. Admettre une possibilité de recours en la matière n'est en rien contradictoire avec la procédure en matière de mesures de contrainte. Dans un cas, il s'agit de vérifier les conditions d'une expulsion pénale, dans l'autre de contrôler une mise en détention fondée sur la LSEE. Les buts et les conditions de ces procédures étant différents, il faut également reconnaître l'existence de voies de droit distinctes. Le département peut d'ailleurs difficilement, pour justifier l'irrecevabilité des recours adressés à la Cour de céans, faire état des garanties de procédure prévues par le droit fédéral en matière de mesures de contrainte. En effet, dès le 19 mars 1996 en tout cas, le service des étrangers et de l'état civil avait fixé le jour et l'heure de l'expulsion du recourant (voir la lettre de cette date à l'Office fédéral des réfu- giés), de sorte qu'en n'arrêtant le recourant que le 1er avril pour l'ex- pulser le 3 avril, il semblait avoir pour principal objectif de ne pas soumettre l'examen de la légalité et de l'adéquation de la détention au contrôle judiciaire prévu par la loi, puisque ce contrôle pouvait n'inter- venir que 72 heures après l'arrestation. Cette interprétation est confir- mée par deux éléments. D'une part, le dossier ne contient aucune indica- tion sur les raisons qui ont justifié l'arrestation du recourant. L'ordre de mise en détention du 1er avril 1996 mentionne seulement qu'elle est ordonnée "en vue de l'examen de sa situation" (du recourant), ce qui n'est pas un motif de détention au sens des articles 13a et 13b de la loi fédé- rale sur les mesures de contrainte en matière de droit des étrangers, et d'ailleurs inexact, la place du recourant dans l'avion étant déjà réser- vée. D'autre part, lorsque le service des étrangers et de l'état civil a constaté que l'expulsion ne pourrait être exécutée comme il l'avait prévu le 3 avril, il a immédiatement mis un terme à la détention. 3.      Une photocopie d'un article de presse consacré à cette affaire et tiré du quotidien Le Matin du 11 avril 1996 figure au dossier. Selon cette coupure de presse, le chef du service des étrangers, F., aurait qualifié le recourant de "petite crapule", ajoutant "une fois les recours administratifs réglés, expulsion il y aura". Ces propos doivent entraîner la récusation d'office de ce fonctionnaire, en applica- tion de l'article 11 litt.d LPJA, relatif aux personnes pouvant avoir une opinion préconçue sur une affaire. 4.      Il convient donc d'annuler la décision d'irrecevabilité et de renvoyer la cause au département en l'invitant à procéder selon les consi- dérants qui précèdent. Au vu du sort de la cause, il est statué sans frais (art.47 al.1 LPJA) et une indemnité de dépens doit être octroyée au recou- rant (art.48 al.1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