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TA.1995.370 vom 9. Oktober 1995</w:t>
      </w:r>
    </w:p>
    <w:p>
      <w:r>
        <w:t>NE Tribunal cantonal, 1995-10-09, FR</w:t>
      </w:r>
    </w:p>
    <w:p>
      <w:r>
        <w:rPr>
          <w:b/>
        </w:rPr>
        <w:t xml:space="preserve">Quelle: </w:t>
      </w:r>
      <w:r>
        <w:t>https://mcp.opencaselaw.ch/entscheid/ne_gerichte_TA.1995.370_d19951009</w:t>
      </w:r>
    </w:p>
    <w:p>
      <w:r>
        <w:t>FR: NE_GERICHTE TA.1995.370 du 9 octobre 1995</w:t>
      </w:r>
    </w:p>
    <w:p>
      <w:r>
        <w:t>IT: NE_GERICHTE TA.1995.370 del 9 ottobre 1995</w:t>
      </w:r>
    </w:p>
    <w:p>
      <w:pPr>
        <w:pStyle w:val="Heading2"/>
      </w:pPr>
      <w:r>
        <w:t>Regeste</w:t>
      </w:r>
    </w:p>
    <w:p>
      <w:r>
        <w:t>Autorisation d'un "Stöckli" en zone agricole; rappel de jurisprudence.</w:t>
      </w:r>
    </w:p>
    <w:p>
      <w:pPr>
        <w:pStyle w:val="Heading2"/>
      </w:pPr>
      <w:r>
        <w:t>Erwägungen</w:t>
      </w:r>
    </w:p>
    <w:p>
      <w:r>
        <w:rPr>
          <w:b/>
        </w:rPr>
        <w:t>E. 16</w:t>
      </w:r>
    </w:p>
    <w:p>
      <w:r>
        <w:t>et 22 LAT n'étant ainsi pas remplie, il est inutile d'examiner si l'exploitation du recourant nécessite sa présence durable sur place ou si la construction envisagée se trouve dans une relation fonctionnelle directe avec l'entreprise agricole.</w:t>
      </w:r>
    </w:p>
    <w:p>
      <w:r>
        <w:t>3.    Le recourant allègue en outre que son projet devrait être autorisé afin de lui assurer un logement dans la ferme lorsqu'il sera à la retraite. Bien que l'on ne connaisse pas son âge qui, cas échéant, pourrait faire apparaître sa motivation sur ce point comme prématurée, la question souffre de rester indécise, car la retraite de l'intéressé ne jouerait de toute façon pas un rôle déterminant en la cause.</w:t>
      </w:r>
    </w:p>
    <w:p>
      <w:r>
        <w:t>Dans certaines régions de la Suisse, le besoin de loger convenablement les exploitants retraités est considéré comme légitime et justifiant l'autorisation de construire des logements à cet effet. C'est surtout sur le Plateau suisse que l'on rencontre ce genre d'habitation traditionnelle appelée "Stöckli", dont la principale fonction est de faciliter la transmission d'un domaine d'une génération à l'autre (Keller, Neubauten in der Landwirtschaftszone, p.84). Le Tribunal fédéral a reconnu qu'on ne saurait exiger qu'un paysan doive quitter son domaine lorsque, à l'âge de la retraite, il en remettra l'exploitation à ses enfants. Le maintien sur le domaine favorise aussi la structure sociale de l'agriculture. Les parents retraités peuvent continuer à rendre de précieux services dans l'exploitation du domaine (ATF 116 Ib 231, JT 1992 I 465).</w:t>
      </w:r>
    </w:p>
    <w:p>
      <w:r>
        <w:t>Dans le canton de Neuchâtel toutefois, le Tribunal administratif a déjà eu l'occasion de juger que l'usage du "Stöckli" n'est pas connu (RJN 1982, p.179). On ne saurait, partant, autoriser une telle construction aux conditions de l'article 22 LAT, en s'appuyant dans le cas particulier sur cet usage. Par ailleurs, même dans les régions qui connaissent l'usage du "Stöckli", il est nécessaire de satisfaire aux conditions de l'article 16 LAT pour bénéficier d'une autorisation au sens de l'article 22 LAT (JAB 1994, p.164).</w:t>
      </w:r>
    </w:p>
    <w:p>
      <w:r>
        <w:t>Il s'ensuit que le projet du recourant doit, à l'instar de tout bâtiment d'habitation en zone agricole, correspondre à un réel besoin agricole. Comme cette condition n'est pas réalisée en la cause (cons.2c),il reste à examiner si les conditions de l'octroi d'une dérogation au sens de l'article 24 LAT sont remplies (ATF 121 II 71).</w:t>
      </w:r>
    </w:p>
    <w:p>
      <w:r>
        <w:t>4.    Il y a implantation imposée par la destination lorsque la construction doit, pour des motifs techniques ou d'exploitation, être réalisée en un endroit situé en dehors de la zone à bâtir. Il faut en juger selon des critères objectifs et non pas selon les idées et les voeux subjectifs du propriétaire, ni selon des critères de commodité ou d'agrément (ATF 116 Ib 228 ss).</w:t>
      </w:r>
    </w:p>
    <w:p>
      <w:r>
        <w:t>Selon la jurisprudence du Tribunal fédéral, l'exigence de l'implantation imposée par la destination de l'ouvrage pour une maison d'habitation en zone agricole, doit s'examiner selon les mêmes critères que pour juger de la conformité à la zone agricole (ATF 121 II 71 cons.3d). Or, vu les circonstances mentionnées ci-dessus (cons.2c), cette condition n'est pas remplie.</w:t>
      </w:r>
    </w:p>
    <w:p>
      <w:r>
        <w:t>5.    Le recours se révélant de la sorte mal fondé, il doit être rejeté sous suite de frais (art.47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