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TA.1995.189 vom 8. Februar 1996</w:t>
      </w:r>
    </w:p>
    <w:p>
      <w:r>
        <w:t>NE Tribunal cantonal, 1996-02-08, FR</w:t>
      </w:r>
    </w:p>
    <w:p>
      <w:r>
        <w:rPr>
          <w:b/>
        </w:rPr>
        <w:t xml:space="preserve">Quelle: </w:t>
      </w:r>
      <w:r>
        <w:t>https://mcp.opencaselaw.ch/entscheid/ne_gerichte_TA.1995.189</w:t>
      </w:r>
    </w:p>
    <w:p>
      <w:r>
        <w:t>FR: NE_GERICHTE TA.1995.189 du 8 février 1996</w:t>
      </w:r>
    </w:p>
    <w:p>
      <w:r>
        <w:t>IT: NE_GERICHTE TA.1995.189 del 8 febbraio 1996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Pour les motifs qui précèdent, le recours doit être rejeté. Il est statué sans frais, la procédure étant en principe gratuite (art.108 al.1 litt.a LAA). Il n'y a en outre pas lieu à allocation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