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NE-331 vom 15. Januar 1996</w:t>
      </w:r>
    </w:p>
    <w:p>
      <w:r>
        <w:t>NE Tribunal cantonal, 1996-01-15, FR</w:t>
      </w:r>
    </w:p>
    <w:p>
      <w:r>
        <w:rPr>
          <w:b/>
        </w:rPr>
        <w:t xml:space="preserve">Quelle: </w:t>
      </w:r>
      <w:r>
        <w:t>https://mcp.opencaselaw.ch/entscheid/ne_gerichte_NE-331</w:t>
      </w:r>
    </w:p>
    <w:p>
      <w:r>
        <w:t>FR: NE_GERICHTE NE-331 du 15 janvier 1996</w:t>
      </w:r>
    </w:p>
    <w:p>
      <w:r>
        <w:t>IT: NE_GERICHTE NE-331 del 15 gennaio 1996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Qu'il a compétence à l'égard des demandes de L. à</w:t>
      </w:r>
    </w:p>
    <w:p>
      <w:r>
        <w:t>l'encontre de la S. Monaco au sujet de la durée de</w:t>
      </w:r>
    </w:p>
    <w:p>
      <w:r>
        <w:t>L'indenture:</w:t>
      </w:r>
    </w:p>
    <w:p>
      <w:r>
        <w:t>que l'Indenture n'est pas venu à expiration en 1990, mais</w:t>
      </w:r>
    </w:p>
    <w:p>
      <w:r>
        <w:t>qu'il a été valablement renouvelé et qu'il conservera ses</w:t>
      </w:r>
    </w:p>
    <w:p>
      <w:r>
        <w:t>pleins et entiers effets jusqu'au 12 juin 2002 en vertu de</w:t>
      </w:r>
    </w:p>
    <w:p>
      <w:r>
        <w:t>la "Lettre de Renouvellement";</w:t>
      </w:r>
    </w:p>
    <w:p>
      <w:r>
        <w:rPr>
          <w:b/>
        </w:rPr>
        <w:t>E. 2</w:t>
      </w:r>
    </w:p>
    <w:p>
      <w:r>
        <w:t>qu'il a compétence pour vérifier si la Loi monégasque No 490</w:t>
      </w:r>
    </w:p>
    <w:p>
      <w:r>
        <w:t>est applicable à l'Indenture et si le loyer de l'Hôtel est</w:t>
      </w:r>
    </w:p>
    <w:p>
      <w:r>
        <w:t>révisable;</w:t>
      </w:r>
    </w:p>
    <w:p>
      <w:r>
        <w:t>que l'Article 28 de la Loi monégasque No 490 n'est pas</w:t>
      </w:r>
    </w:p>
    <w:p>
      <w:r>
        <w:t>applicable à l'Indenture et que les parties sont tenues par</w:t>
      </w:r>
    </w:p>
    <w:p>
      <w:r>
        <w:t>la Formule de Rendement Assuré sur investissement jusqu'à</w:t>
      </w:r>
    </w:p>
    <w:p>
      <w:r>
        <w:t>l'expiration dudit Indenture; que les procédures de révision</w:t>
      </w:r>
    </w:p>
    <w:p>
      <w:r>
        <w:t>des loyers sont contraires aux conventions obligatoires qui</w:t>
      </w:r>
    </w:p>
    <w:p>
      <w:r>
        <w:t>lient la S. à LHM;</w:t>
      </w:r>
    </w:p>
    <w:p>
      <w:r>
        <w:rPr>
          <w:b/>
        </w:rPr>
        <w:t>E. 3</w:t>
      </w:r>
    </w:p>
    <w:p>
      <w:r>
        <w:t>qu'il est compétent à l'égard des différends nés du</w:t>
      </w:r>
    </w:p>
    <w:p>
      <w:r>
        <w:t>Settlement Agreement et du Rent Review Indemnification</w:t>
      </w:r>
    </w:p>
    <w:p>
      <w:r>
        <w:t>Agreement;</w:t>
      </w:r>
    </w:p>
    <w:p>
      <w:r>
        <w:t>que la S. Neuchâtel est, vis-à-vis de LHI et de LHM,</w:t>
      </w:r>
    </w:p>
    <w:p>
      <w:r>
        <w:t>partie aux conventions antérieurement conclues par NHI et</w:t>
      </w:r>
    </w:p>
    <w:p>
      <w:r>
        <w:t>qui auraient été cédées aux termes du Supplementary</w:t>
      </w:r>
    </w:p>
    <w:p>
      <w:r>
        <w:t>Agreement, et que le Tribunal a compétence à l'égard de la</w:t>
      </w:r>
    </w:p>
    <w:p>
      <w:r>
        <w:t>S. Neuchâtel en vertu des clauses compromissoires par</w:t>
      </w:r>
    </w:p>
    <w:p>
      <w:r>
        <w:t>lesquelles NHI était initialement tenue;</w:t>
      </w:r>
    </w:p>
    <w:p>
      <w:r>
        <w:t>qu'est valable l'obligation impartie à NHI d'indemniser</w:t>
      </w:r>
    </w:p>
    <w:p>
      <w:r>
        <w:t>totalement et de garantir ("hold harmless") L. en cas de</w:t>
      </w:r>
    </w:p>
    <w:p>
      <w:r>
        <w:t>modification ou de révision du loyer, laquelle obligation a</w:t>
      </w:r>
    </w:p>
    <w:p>
      <w:r>
        <w:t>également été mise à la charge de la S. Neuchâtel, que</w:t>
      </w:r>
    </w:p>
    <w:p>
      <w:r>
        <w:t>ladite obligation ne constitue pas "fraude à la loi", pas</w:t>
      </w:r>
    </w:p>
    <w:p>
      <w:r>
        <w:t>plus qu'elle n'enfreint une "loi de police" de Monaco;</w:t>
      </w:r>
    </w:p>
    <w:p>
      <w:r>
        <w:rPr>
          <w:b/>
        </w:rPr>
        <w:t>E. 4</w:t>
      </w:r>
    </w:p>
    <w:p>
      <w:r>
        <w:t>qu'il n'a pas compétence à l'égard des difficultés relatives</w:t>
      </w:r>
    </w:p>
    <w:p>
      <w:r>
        <w:t>à l'allégation d'atteintes aux droits sociaux de L. sur</w:t>
      </w:r>
    </w:p>
    <w:p>
      <w:r>
        <w:t>la S.;</w:t>
      </w:r>
    </w:p>
    <w:p>
      <w:r>
        <w:rPr>
          <w:b/>
        </w:rPr>
        <w:t>E. 5</w:t>
      </w:r>
    </w:p>
    <w:p>
      <w:r>
        <w:t>qu'il ne conservera pas compétence à l'égard des sociétés</w:t>
      </w:r>
    </w:p>
    <w:p>
      <w:r>
        <w:t>défenderesses en ce qui concerne l'exécution de la présente</w:t>
      </w:r>
    </w:p>
    <w:p>
      <w:r>
        <w:t>sentence, pas plus qu'à l'égard des hypothétiques revendi-</w:t>
      </w:r>
    </w:p>
    <w:p>
      <w:r>
        <w:t>cations qui seraient présentées par les sociétés demande-</w:t>
      </w:r>
    </w:p>
    <w:p>
      <w:r>
        <w:t>resses (voir plus haut, par. 115-117), et ce sans préjudice</w:t>
      </w:r>
    </w:p>
    <w:p>
      <w:r>
        <w:t>du droit de la partie lésée à éventuellement recourir aux</w:t>
      </w:r>
    </w:p>
    <w:p>
      <w:r>
        <w:t>procédures appropriées ou d'engager de nouvelles procédures</w:t>
      </w:r>
    </w:p>
    <w:p>
      <w:r>
        <w:t>d'arbitrage selon les clauses compromissoires appropriées,</w:t>
      </w:r>
    </w:p>
    <w:p>
      <w:r>
        <w:t>si de tels événements surviennent.</w:t>
      </w:r>
    </w:p>
    <w:p>
      <w:r>
        <w:t>B. INVITE la S., en confirmation de l'Ordonnance interlocu-</w:t>
      </w:r>
    </w:p>
    <w:p>
      <w:r>
        <w:t>toire No 1, à retirer les actions qu'elle a présentées le 12</w:t>
      </w:r>
    </w:p>
    <w:p>
      <w:r>
        <w:t>juin 1992 devant le Tribunal de Grande Instance de Monaco.</w:t>
      </w:r>
    </w:p>
    <w:p>
      <w:r>
        <w:t>C. ORDONNE:</w:t>
      </w:r>
    </w:p>
    <w:p>
      <w:r>
        <w:t>1(a)     Aux deux sociétés défenderesses, conjointement et solidai-</w:t>
      </w:r>
    </w:p>
    <w:p>
      <w:r>
        <w:t>rement, de verser aux sociétés demanderesses une somme de</w:t>
      </w:r>
    </w:p>
    <w:p>
      <w:r>
        <w:t>$US 1.357.966 à titre d'indemnisation des frais juridiques</w:t>
      </w:r>
    </w:p>
    <w:p>
      <w:r>
        <w:t>supportées par ces dernières dans cet arbitrage;</w:t>
      </w:r>
    </w:p>
    <w:p>
      <w:r>
        <w:t>1(b)     Que les frais et coût du présent arbitrage, fixés par la</w:t>
      </w:r>
    </w:p>
    <w:p>
      <w:r>
        <w:t>Cour Internationale d'Arbitrage à la somme de $US 614.630,</w:t>
      </w:r>
    </w:p>
    <w:p>
      <w:r>
        <w:t>soient répartis entre les parties à concurrence de 75%</w:t>
      </w:r>
    </w:p>
    <w:p>
      <w:r>
        <w:t>pour les sociétés défenderesses et de 25% pour les socié-</w:t>
      </w:r>
    </w:p>
    <w:p>
      <w:r>
        <w:t>tés demanderesses;</w:t>
      </w:r>
    </w:p>
    <w:p>
      <w:r>
        <w:t>1(c)     Aux deux sociétés défenderesses, conjointement et solidai-</w:t>
      </w:r>
    </w:p>
    <w:p>
      <w:r>
        <w:t>rement, de verser aux sociétés demanderesses la différence</w:t>
      </w:r>
    </w:p>
    <w:p>
      <w:r>
        <w:t>entre l'avance constituée par ces dernières en faveur de</w:t>
      </w:r>
    </w:p>
    <w:p>
      <w:r>
        <w:t>la CCI au titre de frais et coûts d'arbitrage (étant tenu</w:t>
      </w:r>
    </w:p>
    <w:p>
      <w:r>
        <w:t>compte de tout remboursement que les sociétés demande-</w:t>
      </w:r>
    </w:p>
    <w:p>
      <w:r>
        <w:t>resses pourraient recevoir directement de la CCI et dont</w:t>
      </w:r>
    </w:p>
    <w:p>
      <w:r>
        <w:t>le montant exact sera indiqué par celle-ci) et la part de</w:t>
      </w:r>
    </w:p>
    <w:p>
      <w:r>
        <w:t>25% supportée par les sociétés demanderesses au titre des</w:t>
      </w:r>
    </w:p>
    <w:p>
      <w:r>
        <w:t>frais mentionnés dans le paragraphe précédent;</w:t>
      </w:r>
    </w:p>
    <w:p>
      <w:r>
        <w:t>2.Les sommes qui devront être versées aux sociétés demande-</w:t>
      </w:r>
    </w:p>
    <w:p>
      <w:r>
        <w:t>resses porteront intérêts à compter du 30ème jour qui</w:t>
      </w:r>
    </w:p>
    <w:p>
      <w:r>
        <w:t>suivra la notification de la présente sentence et ce au</w:t>
      </w:r>
    </w:p>
    <w:p>
      <w:r>
        <w:t>taux du LIBOR Interbank majoré d'un point.</w:t>
      </w:r>
    </w:p>
    <w:p>
      <w:r>
        <w:t>C. REJETTE</w:t>
      </w:r>
    </w:p>
    <w:p>
      <w:r>
        <w:t>1.Toutes autres demande des sociétés demanderesses dans la</w:t>
      </w:r>
    </w:p>
    <w:p>
      <w:r>
        <w:t>mesure où celles-ci portent sur des préjudices subis par</w:t>
      </w:r>
    </w:p>
    <w:p>
      <w:r>
        <w:t>elles antérieurement aux dernière audiences tenues dans le</w:t>
      </w:r>
    </w:p>
    <w:p>
      <w:r>
        <w:t>cadre du présent arbitrage;</w:t>
      </w:r>
    </w:p>
    <w:p>
      <w:r>
        <w:t>2.L'ensemble des demandes reconventionnelles des sociétés</w:t>
      </w:r>
    </w:p>
    <w:p>
      <w:r>
        <w:t>défenderesses."</w:t>
      </w:r>
    </w:p>
    <w:p>
      <w:r>
        <w:t>B.      Par requête du 5 décembre 1994, adressée au président du</w:t>
      </w:r>
    </w:p>
    <w:p>
      <w:r>
        <w:t>Tribunal du district de Neuchâtel, les intimées lui ont demandé de</w:t>
      </w:r>
    </w:p>
    <w:p>
      <w:r>
        <w:t>prononcer l'exequatur de la sentence arbitrale du 30 mai 1994. La</w:t>
      </w:r>
    </w:p>
    <w:p>
      <w:r>
        <w:t>recourante a renoncé à formuler des observations, s'en remettant à dire de</w:t>
      </w:r>
    </w:p>
    <w:p>
      <w:r>
        <w:t>justice.</w:t>
      </w:r>
    </w:p>
    <w:p>
      <w:r>
        <w:t>Par décision du 2 mars 1995, le président du Tribunal a accordé</w:t>
      </w:r>
    </w:p>
    <w:p>
      <w:r>
        <w:t>l'exequatur de la sentence arbitrale en la partie B de son dispositif</w:t>
      </w:r>
    </w:p>
    <w:p>
      <w:r>
        <w:t>uniquement et rejeté la requête pour le surplus dans la mesure où elle</w:t>
      </w:r>
    </w:p>
    <w:p>
      <w:r>
        <w:t>était recevable. Il a considéré en particulier que la partie déclarative</w:t>
      </w:r>
    </w:p>
    <w:p>
      <w:r>
        <w:t>de la sentence (A) ne se prêtait pas à un ordre d'exécution au sens précis</w:t>
      </w:r>
    </w:p>
    <w:p>
      <w:r>
        <w:t>du terme. Cette décision n'a pas fait l'objet d'un recours.</w:t>
      </w:r>
    </w:p>
    <w:p>
      <w:r>
        <w:t>C.      Par une nouvelle requête du 24 avril 1995, les intimées ont</w:t>
      </w:r>
    </w:p>
    <w:p>
      <w:r>
        <w:t>requis le président du Tribunal du district de Neuchâtel de prononcer la</w:t>
      </w:r>
    </w:p>
    <w:p>
      <w:r>
        <w:t>reconnaissance de la partie A du dispositif de la sentence arbitrale du</w:t>
      </w:r>
    </w:p>
    <w:p>
      <w:r>
        <w:t>30 mai 1994. La recourante a conclu au rejet de la requête en contestant</w:t>
      </w:r>
    </w:p>
    <w:p>
      <w:r>
        <w:t>l'intérêt pour agir des requérants et en excipant de l'autorité de chose</w:t>
      </w:r>
    </w:p>
    <w:p>
      <w:r>
        <w:t>jugée attachée à l'ordonnance précédente du 2 mars 1995.</w:t>
      </w:r>
    </w:p>
    <w:p>
      <w:r>
        <w:t>Par l'ordonnance du 20 juillet 1995, le président du Tribunal du</w:t>
      </w:r>
    </w:p>
    <w:p>
      <w:r>
        <w:t>district de Neuchâtel a prononcé la reconnaissance de la partie A du</w:t>
      </w:r>
    </w:p>
    <w:p>
      <w:r>
        <w:t>dispositif de la sentence. Il a admis l'intérêt à agir des requérants et a</w:t>
      </w:r>
    </w:p>
    <w:p>
      <w:r>
        <w:t>considéré que l'ordonnance du 2 mars 1995 ne se prononce pas sur le fond</w:t>
      </w:r>
    </w:p>
    <w:p>
      <w:r>
        <w:t>concernant la reconnaissance de la partie déclarative de la sentence, de</w:t>
      </w:r>
    </w:p>
    <w:p>
      <w:r>
        <w:t>sorte que, sur ce point, elle n'a pas acquis l'autorité de la chose jugée.</w:t>
      </w:r>
    </w:p>
    <w:p>
      <w:r>
        <w:t>D. Dans son recours contre cette ordonnance, la recourante invoque</w:t>
      </w:r>
    </w:p>
    <w:p>
      <w:r>
        <w:t>implicitement l'erreur de droit consistant à avoir dénié l'autorité de la</w:t>
      </w:r>
    </w:p>
    <w:p>
      <w:r>
        <w:t>chose jugée à l'ordonnance du 2 mars 1995. Elle soutient que, les intimées</w:t>
      </w:r>
    </w:p>
    <w:p>
      <w:r>
        <w:t>ayant renoncé à recourir contre la première ordonnance, bien qu'elles</w:t>
      </w:r>
    </w:p>
    <w:p>
      <w:r>
        <w:t>l'aient considérée comme erronée, celle-ci est devenue définitive et</w:t>
      </w:r>
    </w:p>
    <w:p>
      <w:r>
        <w:t>exécutoire. Dès lors, le juge était dessaisi de la cause et il ne pouvait</w:t>
      </w:r>
    </w:p>
    <w:p>
      <w:r>
        <w:t>la modifier ultérieurement. La seconde requête portait sur la même préten-</w:t>
      </w:r>
    </w:p>
    <w:p>
      <w:r>
        <w:t>tion que la première, se fondait sur les mêmes faits et opposait les mêmes</w:t>
      </w:r>
    </w:p>
    <w:p>
      <w:r>
        <w:t>parties, de sorte que l'ordonnance attaquée se heurte à l'autorité de</w:t>
      </w:r>
    </w:p>
    <w:p>
      <w:r>
        <w:t>chose jugée de celle du 2 mars 1995 du moment que l'exequatur demandée</w:t>
      </w:r>
    </w:p>
    <w:p>
      <w:r>
        <w:t>alors implique la reconnaissance objet de la seconde procédure.</w:t>
      </w:r>
    </w:p>
    <w:p>
      <w:r>
        <w:t>Le président du Tribunal n'a pas présenté d'observations. Les</w:t>
      </w:r>
    </w:p>
    <w:p>
      <w:r>
        <w:t>intimées, pour leur part, concluent au rejet du recours sous suite de</w:t>
      </w:r>
    </w:p>
    <w:p>
      <w:r>
        <w:t>frais et dépens. Elles soutiennent en substance qu'il n'y a pas identité</w:t>
      </w:r>
    </w:p>
    <w:p>
      <w:r>
        <w:t>entre l'objet de la première ordonnance et celui de la nouvelle requête</w:t>
      </w:r>
    </w:p>
    <w:p>
      <w:r>
        <w:t>tendant à la reconnaissance d'une partie du dispositif de la sentence.</w:t>
      </w:r>
    </w:p>
    <w:p>
      <w:r>
        <w:t>C O N S I D E R A N T</w:t>
      </w:r>
    </w:p>
    <w:p>
      <w:r>
        <w:t>1. Interjeté dans les formes et délai légaux, le recours est</w:t>
      </w:r>
    </w:p>
    <w:p>
      <w:r>
        <w:t>recevable.</w:t>
      </w:r>
    </w:p>
    <w:p>
      <w:r>
        <w:t>2.      La sentence arbitrale en cause, rendue à Paris, est une sentence</w:t>
      </w:r>
    </w:p>
    <w:p>
      <w:r>
        <w:t>arbitrale étrangère dont la reconnaissance et l'exécution sont régies par</w:t>
      </w:r>
    </w:p>
    <w:p>
      <w:r>
        <w:t>la convention de New-York du 10 juin 1958 pour la reconnaissance et l'exé-</w:t>
      </w:r>
    </w:p>
    <w:p>
      <w:r>
        <w:t>cution des sentences arbitrales étrangères (art.194 LDIP et ch.I de la</w:t>
      </w:r>
    </w:p>
    <w:p>
      <w:r>
        <w:t>convention). Il est constant que les conditions posées par la convention</w:t>
      </w:r>
    </w:p>
    <w:p>
      <w:r>
        <w:t>pour la reconnaissance d'une sentence arbitrale étrangère sont remplies en</w:t>
      </w:r>
    </w:p>
    <w:p>
      <w:r>
        <w:t>l'espèce. Par ailleurs, il n'est pas contesté que, comme l'a admis le pre-</w:t>
      </w:r>
    </w:p>
    <w:p>
      <w:r>
        <w:t>mier juge, une décision rendue en procédure de reconnaissance ou d'exequa-</w:t>
      </w:r>
    </w:p>
    <w:p>
      <w:r>
        <w:t>tur peut revêtir l'autorité de la chose jugée.</w:t>
      </w:r>
    </w:p>
    <w:p>
      <w:r>
        <w:t>3. Selon la jurisprudence, l'autorité de la chose jugée a pour</w:t>
      </w:r>
    </w:p>
    <w:p>
      <w:r>
        <w:t>effet de lier le juge dans un procès ultérieur. Il y a chose jugée lorsque</w:t>
      </w:r>
    </w:p>
    <w:p>
      <w:r>
        <w:t>la prétention litigieuse a déjà fait l'objet d'une décision passée en</w:t>
      </w:r>
    </w:p>
    <w:p>
      <w:r>
        <w:t>force. C'est le cas lorsque, dans l'un et l'autre procès, les parties ont</w:t>
      </w:r>
    </w:p>
    <w:p>
      <w:r>
        <w:t>soumis au juge la même prétention en se fondant sur les mêmes faits (ATF</w:t>
      </w:r>
    </w:p>
    <w:p>
      <w:r>
        <w:t>119 II 89 - JT 1994 I 60 et jurisprudence citée).</w:t>
      </w:r>
    </w:p>
    <w:p>
      <w:r>
        <w:t>4.      a) La question de la différence de nature entre la reconnais-</w:t>
      </w:r>
    </w:p>
    <w:p>
      <w:r>
        <w:t>sance et l'exequatur d'un jugement (ou d'une sentence arbitrale) est déli-</w:t>
      </w:r>
    </w:p>
    <w:p>
      <w:r>
        <w:t>cate. Les deux notions sont distinctes. Si tous les jugements sont en</w:t>
      </w:r>
    </w:p>
    <w:p>
      <w:r>
        <w:t>principe susceptibles de reconnaissance, en revanche, les dispositifs</w:t>
      </w:r>
    </w:p>
    <w:p>
      <w:r>
        <w:t>constitutifs ou déclaratifs, qui ne sont pas susceptibles d'une exécution</w:t>
      </w:r>
    </w:p>
    <w:p>
      <w:r>
        <w:t>forcée, ne sauraient faire l'objet d'une déclaration de force exécutoire</w:t>
      </w:r>
    </w:p>
    <w:p>
      <w:r>
        <w:t>(exequatur) au sens exact du terme (Knoepfler/Schweizer, Précis de droit</w:t>
      </w:r>
    </w:p>
    <w:p>
      <w:r>
        <w:t>international privé suisse, 2e éd., no 715; Schüpbach, Essai panoramique</w:t>
      </w:r>
    </w:p>
    <w:p>
      <w:r>
        <w:t>de définition de la reconnaissance et de l'exequatur en matière civile,</w:t>
      </w:r>
    </w:p>
    <w:p>
      <w:r>
        <w:t>RJN 1992 p.41).   La question de savoir si l'exequatur de la sentence, seule</w:t>
      </w:r>
    </w:p>
    <w:p>
      <w:r>
        <w:t>demandée dans la première procédure, englobe la reconnaissance préalable</w:t>
      </w:r>
    </w:p>
    <w:p>
      <w:r>
        <w:t>de la décision ou s'il s'agit d'une conclusion indépendante et différente,</w:t>
      </w:r>
    </w:p>
    <w:p>
      <w:r>
        <w:t>peut rester ouverte en l'espèce.</w:t>
      </w:r>
    </w:p>
    <w:p>
      <w:r>
        <w:t>b) Pour décider si, dans la décision attaquée, le juge a méconnu</w:t>
      </w:r>
    </w:p>
    <w:p>
      <w:r>
        <w:t>l'autorité de chose jugée de sa première ordonnance du 2 mars 1995, seule</w:t>
      </w:r>
    </w:p>
    <w:p>
      <w:r>
        <w:t>question litigieuse en l'espèce, il convient de rechercher si les inti-</w:t>
      </w:r>
    </w:p>
    <w:p>
      <w:r>
        <w:t>mées, en demandant la reconnaissance d'une partie du dispositif de la</w:t>
      </w:r>
    </w:p>
    <w:p>
      <w:r>
        <w:t>sentence, ont fait valoir la même prétention que celle ayant été précé-</w:t>
      </w:r>
    </w:p>
    <w:p>
      <w:r>
        <w:t>demment jugée. En principe, seul le jugement au fond jouit de l'autorité</w:t>
      </w:r>
    </w:p>
    <w:p>
      <w:r>
        <w:t>de chose jugée. Un tribunal rend un jugement au fond quand il juge de</w:t>
      </w:r>
    </w:p>
    <w:p>
      <w:r>
        <w:t>l'existence de la prétention déduite en justice. En revanche, une décision</w:t>
      </w:r>
    </w:p>
    <w:p>
      <w:r>
        <w:t>procédurale, qui ne se prononce que sur la recevabilité formelle d'une</w:t>
      </w:r>
    </w:p>
    <w:p>
      <w:r>
        <w:t>demande, sans trancher son fondement matériel, n'est pas revêtue de</w:t>
      </w:r>
    </w:p>
    <w:p>
      <w:r>
        <w:t>l'autorité de chose jugée (ATF 115 II 187 - JT 1989 I 588 et citations).</w:t>
      </w:r>
    </w:p>
    <w:p>
      <w:r>
        <w:t>c) Dans sa décision du 2 mars 1995, le président du Tribunal du</w:t>
      </w:r>
    </w:p>
    <w:p>
      <w:r>
        <w:t>district de Neuchâtel n'a accordé l'exequatur de la sentence qu'à la</w:t>
      </w:r>
    </w:p>
    <w:p>
      <w:r>
        <w:t>partie B de son dispositif. Il "rejette la requête pour le surplus dans la</w:t>
      </w:r>
    </w:p>
    <w:p>
      <w:r>
        <w:t>mesure où elle est recevable". Il a considéré que les requérantes solli-</w:t>
      </w:r>
    </w:p>
    <w:p>
      <w:r>
        <w:t>citaient l'exequatur de la sentence arbitrale et non une reconnaissance de</w:t>
      </w:r>
    </w:p>
    <w:p>
      <w:r>
        <w:t>celle-ci, qu'il était lié par les conclusions de la requête en ce sens</w:t>
      </w:r>
    </w:p>
    <w:p>
      <w:r>
        <w:t>qu'il ne pouvait accorder autre chose que ce qui était demandé (art.56</w:t>
      </w:r>
    </w:p>
    <w:p>
      <w:r>
        <w:t>CPC) et que la partie déclarative du dispositif de la sentence (A) ne se</w:t>
      </w:r>
    </w:p>
    <w:p>
      <w:r>
        <w:t>prêtait pas à un ordre d'exécution au sens exact du terme. Il ressort de</w:t>
      </w:r>
    </w:p>
    <w:p>
      <w:r>
        <w:t>ces considérants, auxquels il convient de se référer pour déterminer le</w:t>
      </w:r>
    </w:p>
    <w:p>
      <w:r>
        <w:t>sens du dispositif de la décision (ATF 101 II 375 - JT 1977 I 110) que le</w:t>
      </w:r>
    </w:p>
    <w:p>
      <w:r>
        <w:t>juge a refusé d'entrer en matière sur une reconnaissance de la sentence</w:t>
      </w:r>
    </w:p>
    <w:p>
      <w:r>
        <w:t>qu'il a estimée - à tort ou à raison, peu importe, la décision étant</w:t>
      </w:r>
    </w:p>
    <w:p>
      <w:r>
        <w:t>définitive - n'avoir pas été demandée. Ainsi, dans la mesure où la</w:t>
      </w:r>
    </w:p>
    <w:p>
      <w:r>
        <w:t>décision du 2 novembre 1995 rejette la requête d'exequatur concernant la</w:t>
      </w:r>
    </w:p>
    <w:p>
      <w:r>
        <w:t>partie A du dispositif, il s'agit d'une décision procédurale d'irrece-</w:t>
      </w:r>
    </w:p>
    <w:p>
      <w:r>
        <w:t>vabilité formelle. Elle ne tranche pas la question de savoir si cette</w:t>
      </w:r>
    </w:p>
    <w:p>
      <w:r>
        <w:t>partie du dispositif peut faire l'objet d'une reconnaissance. Dès lors,</w:t>
      </w:r>
    </w:p>
    <w:p>
      <w:r>
        <w:t>c'est à bon droit que le premier juge a admis que la demande de recon-</w:t>
      </w:r>
    </w:p>
    <w:p>
      <w:r>
        <w:t>naissance de la partie A du dispositif, objet de la présente procédure, ne</w:t>
      </w:r>
    </w:p>
    <w:p>
      <w:r>
        <w:t>se heurte pas à l'exception de chose jugée.</w:t>
      </w:r>
    </w:p>
    <w:p>
      <w:r>
        <w:t>5.      Mal fondé, le recours doit être rejeté, les frais et dépens</w:t>
      </w:r>
    </w:p>
    <w:p>
      <w:r>
        <w:t>étant mis à la charge de la recourante.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