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CPEN.2024.85 vom 19. September 2025</w:t>
      </w:r>
    </w:p>
    <w:p>
      <w:r>
        <w:t>NE Tribunal cantonal, 2025-09-19, FR</w:t>
      </w:r>
    </w:p>
    <w:p>
      <w:r>
        <w:rPr>
          <w:b/>
        </w:rPr>
        <w:t xml:space="preserve">Quelle: </w:t>
      </w:r>
      <w:r>
        <w:t>https://mcp.opencaselaw.ch/entscheid/ne_gerichte_CPEN.2024.85</w:t>
      </w:r>
    </w:p>
    <w:p>
      <w:r>
        <w:t>FR: NE_GERICHTE CPEN.2024.85 du 19 septembre 2025</w:t>
      </w:r>
    </w:p>
    <w:p>
      <w:r>
        <w:t>IT: NE_GERICHTE CPEN.2024.85 del 19 settembre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a) En l’espèce, le demandeur se prévaut de motifs de révision au sens de l’article 410 al. 1 let. a CPP. b) L a détention du demandeur du 2 août au 21 décembre 2022 invoquée par A.________ comme un fait nouveau ne peut être considéré ainsi . Si à l'époque où il a rendu l’ordonnance pénale du</w:t>
      </w:r>
    </w:p>
    <w:p>
      <w:r>
        <w:rPr>
          <w:b/>
        </w:rPr>
        <w:t>E. 6</w:t>
      </w:r>
    </w:p>
    <w:p>
      <w:r>
        <w:t>Au vu du caractère abusif de la demande, la Cour n'entrera pas en matière sur celle-ci (art. 412 al. 2 CPP), ni sur la requête d’assistance judiciaire formulée par A.________, en vue d’effectuer une démarche judiciaire qui était dépourvue de chance de succès. Les frais de la présente procédure seront mis à la charge du demandeur en révision.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