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CPEN.2024.78 vom 6. März 2025</w:t>
      </w:r>
    </w:p>
    <w:p>
      <w:r>
        <w:t>NE Tribunal cantonal, 2025-03-06, FR</w:t>
      </w:r>
    </w:p>
    <w:p>
      <w:r>
        <w:rPr>
          <w:b/>
        </w:rPr>
        <w:t xml:space="preserve">Quelle: </w:t>
      </w:r>
      <w:r>
        <w:t>https://mcp.opencaselaw.ch/entscheid/ne_gerichte_CPEN.2024.78</w:t>
      </w:r>
    </w:p>
    <w:p>
      <w:r>
        <w:t>FR: NE_GERICHTE CPEN.2024.78 du 6 mars 2025</w:t>
      </w:r>
    </w:p>
    <w:p>
      <w:r>
        <w:t>IT: NE_GERICHTE CPEN.2024.78 del 6 marzo 2025</w:t>
      </w:r>
    </w:p>
    <w:p>
      <w:pPr>
        <w:pStyle w:val="Heading2"/>
      </w:pPr>
      <w:r>
        <w:t>Erwägungen</w:t>
      </w:r>
    </w:p>
    <w:p>
      <w:r>
        <w:rPr>
          <w:b/>
        </w:rPr>
        <w:t>E. 4</w:t>
      </w:r>
    </w:p>
    <w:p>
      <w:r>
        <w:t>Le prévenu conteste également l’application de l’article 31 al. 1 LCR .</w:t>
      </w:r>
    </w:p>
    <w:p>
      <w:r>
        <w:rPr>
          <w:b/>
        </w:rPr>
        <w:t>E. 4.1</w:t>
      </w:r>
    </w:p>
    <w:p>
      <w:r>
        <w:t>a) Selon l’article 31 al. 1 LCR , le conducteur devra rester constamment maître de son véhicule de façon à pouvoir se conformer aux devoirs de la prudence. L’article 3 al. 1 OCR – qui n’a pas été visé par la prévention, mais donne des éléments d’appréciation quant à la portée de l’article 31 al. 1 LCR – précise que le conducteur vouera son attention à la route et à la circulation ; il évitera toute occupation qui rendrait plus difficile la conduite du véhicule ; il veillera en outre à ce que son attention ne soit pas distraite. Selon la jurisprudence (notamment arrêt du TF du 05.01.2015 [6B_873/2014] c. 2.1, et les réf. cit.), le degré de l’attention requise par l’article 3 al. 1 OCR s’apprécie au regard des circonstances d’espèce, telles que la densité du trafic, la configuration des lieux, l’heure, la visibilité et les sources de danger prévisibles ( ATF 127 II 302 c. 3c p.303) ; l’attention exigée du conducteur implique qu’il soit en mesure de parer rapidement au danger qui menace la vie, l’intégrité corporelle ou les biens matériels d’autrui, et la maîtrise du véhicule exige qu’en présence d’un danger, il actionne immédiatement les commandes du véhicule de manière appropriée aux circonstances (arrêt du TF du 16.01.2015 [6B_927/2014] cons. 2.1 ; arrêt de la Cour pénale du 04.07.2019 [ CPEN.2018.114 ] cons. 4b) ; cf. aussi Bussy et al. , CS CR commenté, 4 e éd., n. 2.4 ad art. 31, et la jurisprudence citée). b) Le conducteur doit être constamment vigilant, de manière à pouvoir assimiler toutes les circonstances mentionnées et à les traiter de telle sorte qu'il soit en mesure de réagir à temps et de manière adaptée à la situation. Plus encore que les règles de la circulation, le comportement au volant est dicté par les événements concrets de l'environnement dans lequel se trouve l'usager de la route ( Roth , in : Commentaire bâlois LCR, n. 44 ad art. 31). c) L'exigence de maîtrise permanente du véhicule signifie que le conducteur doit conduire le véhicule en toute sécurité et sans accident dans la circulation. Si une collision se produit, si le véhicule dérape et sort même de la route, c'est déjà en soi la preuve que le conducteur n'a pas maîtrisé le véhicule. Mais, comme il faut partir du principe que l'usager de la route n'est pas un « Crashpilot » (ou pilote d’essai), la non-maîtrise du véhicule ne peut être sanctionnée que si elle est fautive, c'est-à-dire si elle est due à une erreur de conduite ou à une mauvaise réaction du conducteur ( Roth , Commentaire bâlois LCR, n. 54, ad art. 31). Selon la jurisprudence fédérale, l’obligation de maîtriser le véhicule exige entre autres du conducteur qu’il évalue correctement les distances (arrêt du TF du 18.03.2010 [6B_54/2010] cons. 2.3). d) Pour effectuer certaines manœuvres, le conducteur devra recourir à l’aide d’une tierce personne. Tel est le cas lorsqu’il recule alors que la visibilité à l’arrière est masquée (art. 17 al. 1 OCR) ou lorsqu’il quitte une cour, une fabrique, un garage, etc. et s’engage sur une route sans visibilité (art. 15 al. 3 OCR). Au besoin, il recourra à l’aide d’un passager pour indiquer la direction qu’il veut prendre (art. 28 al. 3 OCR). L’auxiliaire n’est toutefois pas un conducteur, même si certaines règles lui sont applicables, par exemple les articles 33 et 70 OCR (arrêt du TC/NE, CPEN.2018.114 , cons. 4c ; Bussy et al. , op. cit., n. 1.3 ad art. 31). La manœuvre du conducteur est de sa seule responsabilité. e) Selon la jurisprudence,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 ATF 127 IV 34 cons. 3b et les réf. cit.). 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(arrêt du TF du 03.10.2024 [6B_17/2024] cons. 2.5.3 ; ATF 127 IV 34 cons. 3b).</w:t>
      </w:r>
    </w:p>
    <w:p>
      <w:r>
        <w:rPr>
          <w:b/>
        </w:rPr>
        <w:t>E. 4.2</w:t>
      </w:r>
    </w:p>
    <w:p>
      <w:r>
        <w:t>En l’espèce, il a été retenu que B.________ n’avait pas aidé le prévenu à effectuer la manœuvre en marche arrière et que celui-ci était entré en collision avec le véhicule de livraison. Le conducteur était ainsi seul responsable et il n’y a pas lieu de s’interroger sur la portée des indications qui aurait pu être données (dans d’autres cas de figure) par un éventuel auxiliaire. En l’espèce, on pouvait attendre du prévenu qu’il soit particulièrement attentif à l’objet situé à l’arrière de son véhicule, puisqu’il savait qu’une camionnette était stationnée dans le champ de sa manœuvre. Il avait pu le constater sans peine, avant de prendre place dans l’habitacle de son véhicule. L’appelant aurait aussi pu demander à B.________ de l’assister dans sa manœuvre (cf. supra cons. 4.1/d), ce qu’il n’a pas fait. En entrant en (légère) collision avec le véhicule de livraison, le prévenu n’a ainsi pas fait preuve de l’attention requise selon le devoir de prudence. La difficulté de la manœuvre que devait entreprendre le conducteur est en outre corroborée par la proposition faite par l’employé de l’entreprise de jardinage, qui a offert au prévenu et à B.________ de déplacer son propre véhicule, qui rendait la manœuvre plus délicate. B.________, qui a refusé, a agi comme auxiliaire du prévenu. L’auxiliaire n’est pas considéré comme le conducteur, puisqu’il n’agit pas physiquement sur les commandes du véhicule, le conducteur restant seul maître des manœuvres qu’il entreprend ( Jeanneret , Les dispositions pénales de la loi sur la circulation routière, LCR, 2007, n. 58, p. 22). Il appartenait au conducteur – le prévenu qui avait entendu la proposition faite par l’employé de l’entreprise de jardinage à son propre collègue – de prendre cette décision, soit d’accepter la proposition de l’employé dès qu’il s’est aperçu – ou aurait dû s’apercevoir – qu’il ne parvenait pas à manœuvrer sans risque. Le fait que la vitesse était adaptée (selon la défense) ne modifie en rien les constats qui précèdent puisqu’en l’occurrence, le prévenu devait savoir qu’il ne disposait pas de suffisamment de place pour pouvoir continuer sa manœuvre en marche arrière sans heurter le véhicule de livraison. Par conséquent, les faits retenus dans l’ordonnance pénale, puis par le tribunal de police sont bien constitutifs d’une infraction au sens de l’article 31 al. 1 LCR .</w:t>
      </w:r>
    </w:p>
    <w:p>
      <w:r>
        <w:rPr>
          <w:b/>
        </w:rPr>
        <w:t>E. 5</w:t>
      </w:r>
    </w:p>
    <w:p>
      <w:r>
        <w:t>Le prévenu reproche également au tribunal criminel de n’avoir pas renoncé à toute poursuite pénale (cf. art. 8 CPP).</w:t>
      </w:r>
    </w:p>
    <w:p>
      <w:r>
        <w:rPr>
          <w:b/>
        </w:rPr>
        <w:t>E. 5.1</w:t>
      </w:r>
    </w:p>
    <w:p>
      <w:r>
        <w:t>Le ministère public et les tribunaux renoncent à toute poursuite pénale lorsque le droit fédéral le prévoit, notamment lorsque les conditions visées aux art. 52, 53 et 54 du code pénal sont remplies (art. 8 al. 1 CPP). Ils renoncent en outre à engager une poursuite pénale si aucun intérêt prépondérant de la partie plaignante ne s’y oppose (cf. les conditions posées aux al. 2 et 3 de l’art. 8 CPP, qui n’entrent ici pas en ligne de compte). Selon l’article 52 CP (applicable aux infractions routières par le renvoi de l’art. 333 al. 1 CP), si la culpabilité de l’auteur et les conséquences de son acte – conditions cumulatives – sont peu importantes, l’autorité compétente renonce à lui infliger une peine. Si les conditions indiquées à l'article 52 CP sont réunies, l'exemption par le juge est de nature impérative ( ATF 135 IV 130 cons. 5.3.2). Si elles ne sont réalisées qu'en instance de jugement, un verdict de culpabilité est rendu, mais dépourvu de sanction ( ATF 135 IV 130 cons. 5.3.2 ; Dupuis/Moreillon et al . , PC CP, 2 e éd., n. 7 ad art. 52 CP). L'exemption de peine suppose que l'infraction soit de peu d'importance (« geringfügig »),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et du code pénal militaire ainsi qu'une loi fédérale régissant la condition pénale des mineurs du 21 septembre 1998, FF 1999 p. 1871 ; ATF 135 IV 130 , c. 5.3.3 ). Pour apprécier la culpabilité, il faut tenir compte de tous les éléments pertinents pour la fixation de la peine, notamment des circonstances personnelles de l'auteur ou le comportement de celui-ci après l'infraction ( ATF 135 IV 130 cons. 5.4 p. 137 ; arrêt du TF du 26.08.2016 [6B_839/2015] cons. 6.1). Se lon la jurisprudence fédérale, le fait que l’infraction ou la contravention relève d’un cas bagatelle ne justifie pas automatiquement une exemption de peine ( ATF 138 IV 13 cons. 9). Il n’y a pas lieu de rappeler la teneur des articles 53 (« Réparation ») et 54 CP (« Atteinte subie par l’auteur à la suite de son acte ») dont l’application n’est ici pas envisageable.</w:t>
      </w:r>
    </w:p>
    <w:p>
      <w:r>
        <w:rPr>
          <w:b/>
        </w:rPr>
        <w:t>E. 5.2</w:t>
      </w:r>
    </w:p>
    <w:p>
      <w:r>
        <w:t>En l’espèce, selon le tribunal de police, « la faute commise reste de peu de gravité et (…) elle n’a entrainé aucune mise en danger de tiers. (…), les dégâts occasionnés n’ont, à ce stade, pas été établis avec certitude et précision, ce point demeurant apparemment encore litigieux entre les parties ». Si la faute est en soi de peu de gravité, on ne peut pas dire qu’elle se révèle de peu d’importance, voire insignifiante, en comparaison avec la culpabilité d’un conducteur ayant commis un fait punissable revêtant la même qualification. Le prévenu a d’emblée vu que la situation était délicate mais a néanmoins tenté sa manœuvre sans précaution. Il ne s’est pas simplement « appuyé » contre le véhicule de livraison puisque le choc consécutif à la collision a été suffisamment fort pour que le jardinier – qui ne se trouvait pas à proximité immédiate des véhicules – puisse l’entendre. L’une des conditions (cumulatives) permettant de prononcer une exemption de peine n’est pas remplie et il n’est pas nécessaire de s’attarder sur les conséquences de l’acte commis par le conducteur (notamment sur le plan financier). Le prévenu ne peut être exempté de toute peine. En tout état de cause, l’intérêt de l’appelant à recourir sur ce point est douteux, en ce sens que le montant de l’amende est faible non seulement en soi, mais surtout en comparaison du montant des frais judiciaires. Or, en cas d’application de l’article 52 CP, ces frais doivent être mis à la charge du prévenu ( ATF 144 IV 202 cons. 2.3).</w:t>
      </w:r>
    </w:p>
    <w:p>
      <w:r>
        <w:rPr>
          <w:b/>
        </w:rPr>
        <w:t>E. 5.3</w:t>
      </w:r>
    </w:p>
    <w:p>
      <w:r>
        <w:t>Une amende doit ainsi être prononcée en application de l’article 90 al. 1 LCR . Cette dernière disposition légale implique seulement que l’auteur ait violé une règle de la circulation telle que l’article 31 LCR , indépendamment de la survenance d’un danger concret quel qu’il soit ou, à plus forte raison, d’une lésion ( Jeanneret , Les dispositions pénales de la loi sur la circulation routière, LCR, 2007, n. 17 ad art. 90). Par conséquent, il convient de confirmer l’amende de 100 francs fixée par le tribunal de police.</w:t>
      </w:r>
    </w:p>
    <w:p>
      <w:r>
        <w:rPr>
          <w:b/>
        </w:rPr>
        <w:t>E. 6</w:t>
      </w:r>
    </w:p>
    <w:p>
      <w:r>
        <w:t>Au vu de ce qui précède, l’appel est rejeté et le jugement attaqué est entièrement confirmé. Les frais de la procédure d’appel sont arrêtés à 1'000 francs. N’étant pas acquitté, le prévenu n’a pas le droit à une indemnité au sens de l’article 429 CPP.</w:t>
      </w:r>
    </w:p>
    <w:p>
      <w:r>
        <w:rPr>
          <w:b/>
        </w:rPr>
        <w:t>E. 17</w:t>
      </w:r>
    </w:p>
    <w:p>
      <w:r>
        <w:t>ad art. 90).</w:t>
      </w:r>
    </w:p>
    <w:p>
      <w:r>
        <w:t>Par conséquent, il convient de confirmer lamende de 100 francs fixée par le tribunal de police.</w:t>
      </w:r>
    </w:p>
    <w:p>
      <w:r>
        <w:t>6.Au vu de ce qui précède, lappel est rejeté et le jugement attaqué est entièrement confirmé.</w:t>
      </w:r>
    </w:p>
    <w:p>
      <w:r>
        <w:t>Les frais de la procédure dappel sont arrêtés à 1'000 francs. Nétant pas acquitté, le prévenu na pas le droit à une indemnité au sens de larticle 429 CPP.</w:t>
      </w:r>
    </w:p>
    <w:p>
      <w:r>
        <w:t>Par ces motifs,la cour pénale décide</w:t>
      </w:r>
    </w:p>
    <w:p>
      <w:r>
        <w:t>1.Lappel est rejeté dans la mesure où il est recevable et le jugement entrepris est confirmé.</w:t>
      </w:r>
    </w:p>
    <w:p>
      <w:r>
        <w:t>2.Les frais de la procédure dappel, arrêtés à 1'000 francs, sont mis à la charge de lappelant.</w:t>
      </w:r>
    </w:p>
    <w:p>
      <w:r>
        <w:t>3.Il nest pas alloué de dépens au sens de larticle 429 CPP.</w:t>
      </w:r>
    </w:p>
    <w:p>
      <w:r>
        <w:t>4.Notifie le présent jugement à A.________, par Me D.________, au Ministère public, à La Chaux-de-Fonds (MP.2024.388 et au Tribunal de police du Littoral et du Val-de-Travers, à Neuchâtel (POL.2024.275).</w:t>
      </w:r>
    </w:p>
    <w:p>
      <w:r>
        <w:t>Neuchâtel, le 6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