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CPEN.2023.82 vom 8. Mai 2024</w:t>
      </w:r>
    </w:p>
    <w:p>
      <w:r>
        <w:t>NE Tribunal cantonal, 2024-05-08, FR</w:t>
      </w:r>
    </w:p>
    <w:p>
      <w:r>
        <w:rPr>
          <w:b/>
        </w:rPr>
        <w:t xml:space="preserve">Quelle: </w:t>
      </w:r>
      <w:r>
        <w:t>https://mcp.opencaselaw.ch/entscheid/ne_gerichte_CPEN.2023.82</w:t>
      </w:r>
    </w:p>
    <w:p>
      <w:r>
        <w:t>FR: NE_GERICHTE CPEN.2023.82 du 8 mai 2024</w:t>
      </w:r>
    </w:p>
    <w:p>
      <w:r>
        <w:t>IT: NE_GERICHTE CPEN.2023.82 del 8 maggio 2024</w:t>
      </w:r>
    </w:p>
    <w:p>
      <w:pPr>
        <w:pStyle w:val="Heading2"/>
      </w:pPr>
      <w:r>
        <w:t>Erwägungen</w:t>
      </w:r>
    </w:p>
    <w:p>
      <w:r>
        <w:rPr>
          <w:b/>
        </w:rPr>
        <w:t>E. 7</w:t>
      </w:r>
    </w:p>
    <w:p>
      <w:r>
        <w:t>a) L’appelant conteste les peines fixées par le tribunal de police, tant pour l’infraction réprimée par la loi sur la circulation routière (LCR) que pour la consommation de stupéfiants (art. 19a LStup, dont il admet désormais la réalisation). b) L’article 90 al. 2 LCR est passible d’une peine privative de liberté de trois ans au plus ou d’une peine pécuniaire, tandis que la consommation de stupéfiants est passible d’une amende au sens de l’article 19a al. 2 LStup. c) Pour fixer la peine, la Cour pénale retient, s’agissant de la violation de l’article 90 al. 2 LCR , que la faute de l’appelant doit être qualifiée de relativement grave. Elle ne doit pas être minimisée au motif que le comportement de l’appelant n’a pas causé un accident. L’appelant était tout à fait en mesure d’agir conformément à la loi, ne serait-ce qu’en stoppant son véhicule si cela était nécessaire, afin de ne pas laisser des appareils électroniques détourner son attention de la route. En faisant preuve d’inattention à réitérées reprises, le prévenu a agi égoïstement, sans tenir compte des risques que son comportement pouvait engendrer pour les autres usagers de la route. S’agissant de sa situation personnelle, on relèvera que le prévenu, après une période de chômage, a retrouvé du travail depuis le 11 mars 2024 au sein de la société D.________. Il gagne mensuellement 3'999 francs nets, mais un changement (à la baisse) devrait avoir lieu à la fin du mois de mai en raison des saisies dont il fait l’objet, qui se montent environ à 20'000 francs. Il aura alors à disposition entre 2'200 et 2'600 francs nets. Son casier judiciaire fait état de cinq condamnations (cf. supra let. F), dont trois découlent d’infractions aux règles de la circulation routière. Ces dernières condamnations, qui datent respectivement de 2016, 2018 et 2020, montrent que l’appelant fait preuve d’un manque de prise de conscience s’agissant de son comportement sur la route. Le prononcé d’une peine pécuniaire de 30 jours-amende telle que retenue par l’autorité inférieure apparaît plutôt raisonnable au regard de la pratique, compte tenu de la situation de l’appelant. Elle doit être confirmée. d) Compte tenu des revenus mensuels de l’appelant, soit un montant situé entre 2'200 et 2'600 francs (pour tenir compte des saisies dont il est l’objet), auquel il convient de déduire ses charges, soit des frais de minimum vital de 850 francs (concubinage), sa prime d’assurance-maladie obligatoire de 390 francs et la part qu’il consacre aux coûts de l’entretien de la famille (sa compagne ne percevant aucun revenu), le montant du jour-amende peut raisonnablement être fixé à 30 francs. En définitive, une peine pécuniaire de 30 jours-amende à 30 francs (900 francs au total) doit être prononcée. e) S’agissant de la consommation de stupéfiants, la faute de l’appelant doit être qualifiée de modérée. Les éléments au dossier confirment que l’appelant s’est bien rendu coupable de consommation de stupéfiants. C’est en vain que l’appelant affirme ne pas consommer, puisqu’il a déjà fait l’objet d’une précédente condamnation à cet égard (condamnation du 16 mars 2020 ; cf. point F.). Il est ici précisé que la simple contravention en lien avec la consommation de stupéfiants ne figure pas au casier judiciaire. Au regard des circonstances d’espèce, la peine d’amende de 200 francs retenues par le tribunal de première instance est justifiée (cf. aussi les recommandations neuchâteloises en matière de fixation de peine dans leur édition de mai 2023).</w:t>
      </w:r>
    </w:p>
    <w:p>
      <w:r>
        <w:rPr>
          <w:b/>
        </w:rPr>
        <w:t>E. 8</w:t>
      </w:r>
    </w:p>
    <w:p>
      <w:r>
        <w:t>a) L’appelant demande que le sursis soit octroyé à la peine pécuniaire. b)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16.06.2023 [6B_935/2022] cons. 3.1 ; ATF 135 IV 180 cons. 2.1). En d'autres termes, la loi présume l'existence d'un pronostic favorable et cette présomption doit être renversée par le juge pour exclure le sursis (a rrêt du TF du 07.05.2020 [6B_278/2020] , cons. 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21.12.2023 [6B_1268/2023] cons. 5.1.3). Le comportement de l’auteur pendant la procédure peut être pris en considération (arrêt du TF du 07.07.2023 [6B_1137/2022] cons. 5 ; Dupuis et al. , Petit commentaire CP, 2 e éd., n. 13 ad art. 42). Le défaut de prise de conscience de la faute peut justifier un pronostic défavorable, car seul celui qui se repent de son acte mérite la confiance que l'on doit pouvoir accorder au condamné bénéficiant du sursis . c) En l’espèce, l’appelant a déjà fait l’objet, avant que la présente procédure ne soit menée contre lui, de trois condamnations en matière de circulation routière (cf. supra let. F). Celles-ci ne l’ont pas conduit à une quelconque forme de remise en question quant à son comportement en tant qu’usager de la route. Par ailleurs, l’attitude dont l’appelant a fait preuve au cours de la procédure, et en particulier lors de l’audience devant le tribunal de police, laisse transparaître un manque de prise de conscience quant aux erreurs commises et à la dangerosité de ses comportements. Dans ces circonstances, un pronostic défavorable doit être posé, de sorte qu’une peine ferme se justifie.</w:t>
      </w:r>
    </w:p>
    <w:p>
      <w:r>
        <w:rPr>
          <w:b/>
        </w:rPr>
        <w:t>E. 9</w:t>
      </w:r>
    </w:p>
    <w:p>
      <w:r>
        <w:t>Vu ce qui précède, l’appel doit être partiellement admis. Il n’y a pas lieu de revoir les chiffres du dispositif du jugement attaqué visant les frais judiciaires et les dépens. Les frais de la procédure d’appel sont arrêtés à 1'500 francs et l’appelant en supportera les 9/10 (soit 1'350 francs) (art. 428 al. 1 CPP ; art. 43 LTFrais). Succombant largement, il n’a droit qu’à une indemnité partielle au sens de l’article 429 al. 1 CPP, soit le 1/10 de ses frais de défense (296.45 francs).</w:t>
      </w:r>
    </w:p>
    <w:p>
      <w:r>
        <w:rPr>
          <w:b/>
        </w:rPr>
        <w:t>E. 31</w:t>
      </w:r>
    </w:p>
    <w:p>
      <w:r>
        <w:t>al. 1, 90 al. 2 LCR, 3 al. 1 OCR, 19a LStup, 428 et 429 CPP,</w:t>
      </w:r>
    </w:p>
    <w:p>
      <w:r>
        <w:t>I.Lappel est partiellement admis.</w:t>
      </w:r>
    </w:p>
    <w:p>
      <w:r>
        <w:t>II.Le jugement du Tribunal de police du Littoral et du Val-de-Travers du 18 octobre 2023 est annulé et réformé, le nouveau dispositif étant dorénavant le suivant :</w:t>
      </w:r>
    </w:p>
    <w:p>
      <w:r>
        <w:t>1.Reconnaît A.________ coupable dinfractions aux articles 27 al. 1, 31 al. 1 LCR et 19a LStup.</w:t>
      </w:r>
    </w:p>
    <w:p>
      <w:r>
        <w:t>2.Condamne A.________, en application de larticle 90 al. 2 LCR, à une peine pécuniaire de 30 jours-amende à 30 francs (soit 900 francs au total), sans sursis.</w:t>
      </w:r>
    </w:p>
    <w:p>
      <w:r>
        <w:t>3.Condamne A.________ à une amende de 200 francs pour la contravention.</w:t>
      </w:r>
    </w:p>
    <w:p>
      <w:r>
        <w:t>4.Condamne A.________ au paiement des frais de la cause réduits et arrêtés à 550 francs.</w:t>
      </w:r>
    </w:p>
    <w:p>
      <w:r>
        <w:t>5.Dit quil nest pas alloué dindemnité au sens de larticle 429 CPP.</w:t>
      </w:r>
    </w:p>
    <w:p>
      <w:r>
        <w:t>III.Les frais de la procédure dappel, arrêtés à 1'500 francs, sont mis à la charge de A.________ à raison des 9/10 (1'350 francs), le solde (150 francs) étant laissé à la charge de lÉtat.</w:t>
      </w:r>
    </w:p>
    <w:p>
      <w:r>
        <w:t>IV.Un montant de 296.45 francs sera versé à Me F.________, mandataire de A.________, à titre dindemnité réduite de dépens au sens de larticle 429 CPP.</w:t>
      </w:r>
    </w:p>
    <w:p>
      <w:r>
        <w:t>V.Le présent jugement est notifié à A.________, par Me F.________, au ministère public, à La Chaux-de-Fonds (MP.2023.2189), et au Tribunal de police du Littoral et du Val-de-Travers, à Neuchâtel (POL.2023.361).</w:t>
      </w:r>
    </w:p>
    <w:p>
      <w:r>
        <w:t>Neuchâtel, le 8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