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CPEN.2020.87 vom 14. April 2022</w:t>
      </w:r>
    </w:p>
    <w:p>
      <w:r>
        <w:t>NE Tribunal cantonal, 2022-04-14, FR</w:t>
      </w:r>
    </w:p>
    <w:p>
      <w:r>
        <w:rPr>
          <w:b/>
        </w:rPr>
        <w:t xml:space="preserve">Quelle: </w:t>
      </w:r>
      <w:r>
        <w:t>https://mcp.opencaselaw.ch/entscheid/ne_gerichte_CPEN.2020.87</w:t>
      </w:r>
    </w:p>
    <w:p>
      <w:r>
        <w:t>FR: NE_GERICHTE CPEN.2020.87 du 14 avril 2022</w:t>
      </w:r>
    </w:p>
    <w:p>
      <w:r>
        <w:t>IT: NE_GERICHTE CPEN.2020.87 del 14 aprile 2022</w:t>
      </w:r>
    </w:p>
    <w:p>
      <w:pPr>
        <w:pStyle w:val="Heading2"/>
      </w:pPr>
      <w:r>
        <w:t>Erwägungen</w:t>
      </w:r>
    </w:p>
    <w:p>
      <w:r>
        <w:rPr>
          <w:b/>
        </w:rPr>
        <w:t>E. 5</w:t>
      </w:r>
    </w:p>
    <w:p>
      <w:r>
        <w:t>En l’occurrence, la Cour pénale retient les faits suivants : a) X.________ a été l’employé de Y.________ SA entre le 1 er septembre 1998 et le 16 mars 2012, date de son licenciement. D’abord engagé comme technicien en charge du service après-vente et de maintenance pour la région de Haute-Savoie et Genève, il est devenu, dès le 11 novembre 2007, « ingénieur de vente ». Dès ce moment-là, outre la responsabilité du SAV qu’il conservait, il est devenu, dans la même région, le responsable des ventes. Il ressort du contrat de travail et des déclarations des parties durant l’instruction et devant le tribunal de police que le prévenu devait servir au mieux les clients et qu’il disposait d’une grande indépendance. Il était libre de faire des offres et bénéficiait du soutien du bureau de Y.________ SA. Il organisait l’activité des techniciens et pouvait donner (selon lui sa fonction le lui permettait), si besoin, des pièces de rechange gratuitement à des clients pour faire un geste commercial. La Cour pénale en déduit que le prévenu disposait d’une position suffisamment indépendante pour exercer un pouvoir de disposition autonome sur les stocks de pièces détachées et pour pouvoir engager la société en cas de ventes de machines neuves ou d’occasion. Il avait en outre l’entière confiance de son employeur et occupait une position de cadre. b) Selon le contrat de travail du prévenu, il lui était interdit de travailler pour des tiers et tout particulièrement de se lancer dans une autre activité accessoire concurrentielle ou contraire aux intérêts de son employeur. Il était également expressément spécifié qu’à la fin des rapports de travail, il ne devait pas exploiter pour son propre compte une entreprise concurrente, y travailler ou s’y intéresser, durant une période de 5 ans après la fin des rapports de travail. c) Y.________ SA vendait principalement des machines neuves de dégraissage de la marque B.________ – deux tiers des ventes – et d’autres constructeurs. Elle assumait également le service après-vente et la maintenance pour ce genre d’engin, que les clients aient acquis leur appareil chez Y.________ SA ou non. En principe, Y.________ SA ne prospectait pas pour acquérir des machines d’occasion et les revendre, même si la direction de l’entreprise n’était pas opposée par principe à ce genre d’opérations. Certes rarement, Y.________ SA pouvait être amené à acheter une machine usagée, sans que cette acquisition soit liée à la vente d’une neuve. Cela arrivait notamment lorsqu’un client cessait son exploitation. Si un salarié de Y.________ SA proposait à son employeur l’achat d’une machine d’occasion, A.Y.________ pouvait être intéressé. A ce propos, il a soutenu qu’: « il n’a jamais refusé d’acheter une machine ». Cela dit, Y.________ SA était principalement active dans la vente de machines neuves. Au moment de conclure une affaire avec un client qui disposait d’un ancien modèle, Y.________ SA était en général d’accord de consentir à un rabais et de reprendre une machine usagée (cf. les déclarations de X.________ devant la Cour pénale). On peut supposer que Y.________ SA faisait en sorte de revendre l’occasion à un prix au moins équivalent au rabais consenti. Y.________ SA n’avait pas de stock de machines d’occasion ; elle parvenait à vendre les machines anciennes à bref délai. La Cour pénale retient donc que Y.________ SA était également active sur le marché de l’occasion, et qu’il s’agissait d’une activité accessoire. Cette constatation s’impose également à la lecture de la liste des machines vendues du temps de la collaboration de X.________. Sur cette liste, dans la colonne intitulée : « acheté par N.________SA », on voit bon nombre de machines de marque B.________ qui ont été acquises auprès d’autres vendeurs que l’usine B.________. Il s’agit ainsi d’occasions. En ce qui concerne la liste des machines établie par la plaignante, il faut relever que, durant son interrogatoire, le prévenu a accepté de répondre aux questions qui lui étaient posées et n’a pas soutenu que cette liste était fantasque et dépourvue de toute force probante. d) D.________ SA à U.________ a vocation à vendre des machines d’occasion : « c’est le cœur de notre métier », selon l’un de ses administrateurs. Bien que la clientèle soit internationale, 70 % de celle-ci se trouve en Suisse. S’agissant d’un éventuel rapport de concurrence avec Y.________ SA, B.D.________ a déclaré ceci : « les fabricants de machines neuves nous traitent de concurrents, alors que pour moi nous devons être des collaborateurs. Une entreprise qui n’a pas les moyens de se payer une machine neuve va prendre une occasion et si elle lui convient, la prochaine qu’elle achètera sera peut-être une neuve » . La Cour pénale considère donc que dans la mesure où tant D.________ SA que Y.________ SA étaient actives sur le marché de la machine de l’occasion, elles étaient susceptibles de se faire concurrence l’une l’autre. e) Il est établi que X.________ s’est mis en relation avec D.________ SA pour faire de la prospection de machines d’occasion de la marque B.________ ; après que le prévenu avait trouvé une machine à vendre et un acquéreur, D.________ SA finançait l’achat et le bénéfice de la vente était la plupart du temps partagée par moitié. D.________ SA, qui n’avait pas l’assurance d’être payée, prenait tous les risques. X.________ a soutenu qu’en agissant ainsi il ne causait aucun dommage à Y.________ SA à qui il confiait ensuite le service de maintenance. f) Il ressort des documents versés au dossier par D.________ SA que le chiffre d’affaires des ventes conclues par X.________ en collaboration avec cette dernière s’est élevé à 558'150 euros pour la période entre le 25 janvier 2005 et le 12 septembre 2011. Durant la même période, X.________ a perçu des commissions d’au moins 126'067 euros. Pour la seule année 2011, le chiffre d’affaires s’est élevé à presque 160'000 euros et les commissions due au prévenu à environ 64'000 euros. g) A.Y.________ expose que l’activité déployée par X.________ comme prospecteur indépendant au service de D.________ SA a causé un dommage à sa société en ce sens que les ventes litigieuses ont généré une augmentation du chiffre d’affaires de D.________ SA qui n’est pas entrée dans les comptes de la plaignante, dont on pouvait estimer le bénéfice à environ la moitié. Le dommage résultait aussi du fait de payer un collaborateur qui en réalité travaillait partiellement pour une autre entreprise. Dans sa plainte, Y.________ SA a également fait valoir que les ventes de machines neuves par le prévenu dans sa région étaient en baisse, en contradiction avec la marche des affaires sur les autres marchés. Par contre, la plaignante n’a pas dénoncé de situations concrètes dans lesquelles les activités du prévenu auraient nui à ses intérêts, en ce sens que Y.________ SA aurait eu des difficultés à revendre des machines d’occasion après que le prévenu aurait inondé le marché. Au contraire, lors de son audition devant le tribunal de police, A.Y.________ a révélé qu’il n’y a pas eu, en principe, de machines d’occasion en stock chez la plaignante. La Cour pénale ne retient donc pas que l’activité parallèle du prévenu pour le compte de D.________ SA ait eu des conséquences négatives pour Y.________ SA qui n’aurait plus pu écouler ses occasions sur le marché ou qui aurait dû le faire à vil prix. En outre, il est plausible de retenir, ainsi que le soutient le prévenu, que la clientèle intéressée à acquérir une machine neuve dont le prix varie entre 150'000 et 250'000 euros n’est pas la même que celle qui achète des occasions entre quelques milliers et quelques dizaines de milliers de francs. La Cour pénale ne retient donc pas comme établi le fait que Y.________ SA aurait perdu des parts de marché s’agissant des ventes de machines neuves. Pour établir son prétendu dommage, Y.________ SA n’a pas fourni de chiffres reflétant la marche de ses affaires, ni de comparaison des performances de ses différents vendeurs. Une analyse par Y.________ SA des ventes de machines neuves et d’occasion auraient pu montrer si le prévenu avait joué un rôle dans le soi-disant fléchissement des ventes de la région de la Haute-Savoie et de Genève et si une supposée contre-performance du prévenu pouvait s’expliquer, en considérant l’évolution du marché. La plaignante n’a pas non plus fourni d’élément qui montrerait, ainsi qu’elle le prétend dans sa plainte, que le prévenu n’aurait pas consacré à sa tâche de vendeur toute l’énergie que l’on pouvait attendre de lui, ni que ses activités annexes auraient eu pour conséquence l’hypertrophie de son service après-vente et de maintenance au détriment des ventes, ni encore qu’elle aurait subi un dommage, parce que l’activité de vendeur serait plus profitable que celles en lien avec la maintenance. Y.________ SA n’a pas déposé sa comptabilité, ni l’évolution de ses chiffres durant plusieurs années. En particulier, la présentation de son compte de pertes et profits sur plusieurs exercices entre 2005 et 2012 aurait pu mettre en évidence une baisse du chiffre d’affaires de la plaignante et/ou l’érosion de ses marges. La Cour pénale ne retient donc pas comme établi que le comportement du prévenu ait causé à son employeur un dommage.</w:t>
      </w:r>
    </w:p>
    <w:p>
      <w:r>
        <w:rPr>
          <w:b/>
        </w:rPr>
        <w:t>E. 6</w:t>
      </w:r>
    </w:p>
    <w:p>
      <w:r>
        <w:t>L’article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Cette infraction suppose quatre conditions : il faut que l’auteur ait eu une position de garant, qu’il ait violé une obligation lui incombant en cette qualité, qu’il en soit résulté un préjudice et qu’il ait agi intentionnellement ( ATF 120 IV 190 ; arrêt du TF du 29.03.2018 [6B_959/2017] et les références). L’infraction réprimée par l’article 158 ch. 1 CP ne peut être commise que par une personne qui revêt la qualité de gérant. Selon la jurisprudence, il s’agit d’une personne à qui incombe, de fait ou formellement, la responsabilité d’administrer un complexe patrimonial non négligeable dans l’intérêt d’autrui ( ATF 129 IV 124 ; 123 IV 17 ).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de l’entreprise ( ATF 123 IV 17 ; arrêt du TF du 29.03.2018 [6B_959/2017] ). La jurisprudence admet sans autre que les membres d’organes collectifs qui ne disposent que d’une signature collective peuvent être qualifiés de gérants ; peu importe qu’ils ne soient que des hommes de paille ( ATF 105 IV 100 ; arrêt du TF du 29.03.2018 [6B_959/2017 ] ; Dupuis/Moreillon et al. , PC CP, 2 e éd., n. 13 ad art. 158 CP). Le comportement délictueux visé à l’article 158 CP n’est pas décrit par le texte légal. Il consiste à violer les devoirs inhérents à la qualité de gérant. Le gérant sera ainsi punissable s’il transgresse – par action ou par omission – les obligations spécifiques qui lui incombent en vertu de son devoir de gérer et de protéger les intérêts pécuniaires d’une tierce personne. Savoir s’il y a violation de telles obligations implique de déterminer, au préalable et pour chaque situation particulière, le contenu spécifique des devoirs incombant au gérant. Ces devoirs s’examinent au regard des dispositions légales et contractuelles applicables, des éventuels statuts, règlements internes, décisions de l’assemblée générale, buts de la société et usages spécifiques de la branche (arrêt du TF du 02.05.2017 [6B_787/2016] ; du 03.06.2013 [6B_233/2013] ). De façon générale, il demeure parfaitement concevable de qualifier de gérant l’employé qui, dans le cadre de ses rapports de travail (art. 319ss CO) et malgré le rapport de subordination caractéristique de ce type de contrat, occupe une position hiérarchique relativement importante, tout en bénéficiant d’une réelle liberté d’action ( Dupuis/Moreillon et al. , op cit., n. 14 ad art. 158 CP). L’article 158 CP est ainsi applicable au gérant qui est lié à son employeur par un contrat de travail. Mais le gérant n’est punissable que lorsque l’acte ou l’omission dommageables sont contraires à ses devoirs contractuels, il doit résulter dudit contrat de travail que l’auteur a bien l’obligation de veiller sur les intérêts pécuniaires de son employeur. Lorsqu’il incombe à l’employé non seulement de sauvegarder le patrimoine existant mais aussi de l’accroître, ce qui est généralement le cas du gérant d’une entreprise commerciale ou industrielle, celui qui s’abstient de faire des affaires rémunératrices ou les réalise non pour le compte de son employeur mais au profit d’une entreprise concurrente viole gravement ses obligations contractuelles ( ATF 105 IV 307 cons. 3a / JDT 1981 IV 79, 81). La notion de dommage au sens de l’article 158 CP doit être comprise comme pour les autres infractions contre le patrimoine, en particulier l’escroquerie ( ATF 122 IV 279 ). Ainsi, le dommage est une lésion du patrimoine sous la forme d’une diminution de l’actif, d’une augmentation du passif, d’une non-augmentation de l’actif, d’une non-diminution du passif, mais aussi d’une mise en danger de l’actif telle qu’elle a pour effet d’en diminuer la valeur du point de vue économique ( ATF 129 IV 124 ; 123 IV 17 ). Un dommage temporaire ou provisoire est suffisant ( ATF 122 IV 279 ). Il n’est pas nécessaire que le dommage corresponde à l’éventuel enrichissement de l’auteur ni qu’il soit chiffré, pourvu qu’il demeure certain (arrêt du TF du 29.03.2018 [6B_959/2017 ] ; du 20.04.2009 [6B_986/2008 ]). L’infraction de gestion déloyale requiert l’intention, qui doit porter sur tous les éléments constitutifs, à savoir la qualité de gérant, la violation du devoir de gestion et le dommage. Le dol éventuel suffit, lequel doit cependant être strictement caractérisé ( ATF 129 IV 125 cons 3.1 ; ATF 120 IV 190 cons. 2b où il est précisé que le dol éventuel doit être « nettement et strictement caractérisé vu l’imprécision des éléments constitutifs objectifs de cette infraction » et arrêt du TF du 15.05.2018 [6B_700/2017] cons. 2.2).</w:t>
      </w:r>
    </w:p>
    <w:p>
      <w:r>
        <w:rPr>
          <w:b/>
        </w:rPr>
        <w:t>E. 7</w:t>
      </w:r>
    </w:p>
    <w:p>
      <w:r>
        <w:t>En l’occurrence, l’instruction a montré que X.________ était l’employé de la plaignante qui l’avait engagé comme responsable du SAV puis comme responsable et ingénieur de vente, ce qui signifiait qu’il était notamment chargé d’accroître le chiffre d’affaires de la plaignante en vendant des machines qu’elles soient neuves ou d’occasion – étant rappelé encore une fois que la plaignante était surtout active dans la vente de machines neuves – en vue de dégager un bénéfice. Dans son travail, il disposait d’une grande indépendance, en ce sens qu’il organisait librement l’activité de son service de maintenance, qui comptait deux techniciens et qu’il était libre de conclure des ventes aux conditions qui lui semblaient les meilleures. Pour établir des offres, il bénéficiait de l’appui du bureau de son employeur. Il avait la confiance totale de sa hiérarchie et n’était soumis à pratiquement aucune surveillance de la part de la direction. Son contrat de travail lui interdisait expressément de se livrer à des activités accessoires concurrentielles ou contraires aux intérêts légitimes de son employeur. Au sens de la jurisprudence rappelée précédemment, X.________ doit être considéré comme un gérant au sens de l’article 158 al. 1 CP . L’activité du prévenu qui à l’insu de son employeur se livrait à des prospections de machines d’occasion pour une autre entreprise de laquelle il percevait de juteuses commissions était propre à nuire aux intérêts patrimoniaux de la plaignante, que le prévenu avait non seulement le devoir de sauvegarder, mais encore et surtout la tâche d’augmenter, en réalisant le plus d’affaires possibles. Si le seul fait de ne pas consacrer l’entier de son temps à son employeur, alors que l’on est engagé à 100 %, peut en soi lui être dommageable, le fait d’agir à son insu au profit d’une autre entreprise concurrente constitue une grave violation des obligations contractuelles du travailleur, qui est susceptible de causer à l’employeur un dommage, si cette activité parallèle a pour effet de ne pas réaliser la part du chiffre d’affaire attendu. Un tel comportement – le fait de réaliser non pour le compte de son employeur mais au profit d’une entreprise concurrente des affaires – constitue une violation crasse du devoir de gestion du travailleur. En l’espèce, les sociétés Y.________ SA et D.________ SA, on l’a vu précédemment, n’intervenaient que partiellement sur le même marché. La plaignante, vendait principalement des machines neuves, alors que D.________ SA œuvrait uniquement sur le marché de l’occasion. Dans le cadre de ses activités de vente de machines neuves, il pouvait arriver que la plaignante reprenne des machines anciennes et qu’elle les revende ensuite d’occasion, mais la plaignante ne faisait pas de prospection pour dénicher des occasions et les proposer à sa clientèle, qui en principe achetait du neuf. Il s’ensuit que même si les deux sociétés n’agissaient pas toujours sur le même marché, elles étaient néanmoins susceptibles de se concurrencer, quand l’une et l’autre cherchaient à vendre des machines usagées. Il en résulte que le prévenu, qui a vendu comme prospecteur indépendant des machines d’occasion pour le compte de D.________ SA alors qu’il était l’employé de Y.________ SA, a gravement violé son devoir de gestion au préjudice de la plaignante. Comme déjà dit, Y.________ SA n’a pas déposé ses bilans ni ses comptes de pertes et profits sur plusieurs années pour permettre des comparaisons et la mise en évidence d’une baisse de son chiffre d’affaires et/ou une érosion de ses marges. Dans sa plainte, le 5 avril 2012, la société a évoqué, soi-disant chiffres à l’appui, une baisse des ventes de machines neuves dans le secteur dont X.________ avait la responsabilité. Selon la plaignante, cette diminution serait intervenue en contradiction avec la marche des affaires dans les autres secteurs. Pourtant l’instruction n’a jamais porté sur ces chiffres ni comparé les performances des vendeurs de Y.________ SA, marché par marché, ce qui aurait peut-être permis de décrire l’évolution globale des ventes de machines B.________ et de montrer si l’activité de X.________ suivait ou pas une évolution conforme à la tendance générale. En cas d’une contre-performance de la part du prévenu, il aurait encore fallu examiner si celle-ci pouvait s’expliquer pour des raisons spécifiques inhérentes au secteur du prévenu. A cet égard, le tableau des ventes de machines d’occasion établi par la plaignante ne permet pas de mesurer les résultats des différents vendeurs ni de les comparer. Selon ce document, on peut émettre l’hypothèse que l’année 2008 fût bonne (16 ventes), contrairement à 2009, 2010 et 2011. Durant ces trois années les résultats de tous les vendeurs semblent avoir été impactés d’une façon analogue, ce qui ne permet pas de retenir que le prévenu aurait moins vendu de machines d’occasion pour le compte de la plaignante. Au lieu d’essayer de prouver son dommage ou d’en établir à tout le moins le principe, Y.________ SA s’est contenté de conjectures sur ce que l’activité parallèle de X.________ a pu rapporter à D.________ SA en terme de chiffre d’affaires et de bénéfice, en occultant, d’une part, l’examen de ses propres chiffres et, d’autre part, celui du lien de causalité entre son prétendu dommage et l’activité supposée illicite du prévenu. Reste qu’en vendant des machines d’occasion pour le compte de D.________ SA et en touchant de substantielles commissions, X.________ n’a pas augmenté l’actif de Y.________ SA. Sur ce point, il n’est pas établi que les ventes de machines d’occasion pour le compte de D.________ SA aient nuit concrètement aux intérêts de Y.________ SA, qui n’aurait plus pu vendre ses propres machines d’occasion, ou perdu une ou plusieurs opportunités de conclure des ventes de machines neuves auprès de clients qui usuellement achetaient du neuf et qui en raison des agissements du prévenu auraient changé d’avis et auraient préféré une machine de deuxième main. Il semble au contraire que le prévenu ait opéré auprès d’entreprises françaises qui, si elles étaient clientes de Y.________ SA pour la maintenance, n’étaient toutefois pas connues pour être acquéreuses de machines neuves. En outre, du fait que le modèle d’affaires de D.________ SA et de Y.________ SA n’étaient pas identique, un doute subsiste sur le fait que Y.________ SA aurait eu un réel intérêt à suivre X.________, en se profilant davantage sur le marché de l’occasion et en collaborant ouvertement avec D.________ SA en échange de commissions, ce qui n’aurait probablement pas été du goût de la maison B.________ dont Y.________ SA était importateur exclusif pour la Suisse et la France voisine. Le fait que le prévenu ait déployé son activité parallèle auprès d’entreprises qui n’envisageaient pas d’acheter une machine neuve à la plaignante, explique certainement pourquoi l’activité illicite du prévenu n’a eu apparemment – en tout cas la plaignante n’a pas rendu vraisemblable ni prouvé que tel fût le cas – que peu ou pas d’effet sur la marche des affaires de la plaignante et la raison pour laquelle Y.________ SA n’a rien remarqué durant plusieurs années. D’un point de vue comptable également, l’activité accessoire du prévenu est passée pour ainsi dire inaperçue. Ce qui s’explique probablement par le fait que le prévenu, qui était très actif dans le secteur de la maintenance, confiait généralement à son employeur des mandats pour les machines d’occasion qu’il avait prospectées et vendues pour le compte d’un tiers. Cela a conduit à un développement important du service après-vente qui a pu compenser tout ou partie d’une éventuelle diminution des ventes – diminution que l’instruction, rappelons-le, n’a pas permis de mettre en évidence. Il en ressort que ni le dommage n’est établi dans son principe, ni le lien de causalité entre l’activité du prévenu et le supposé dommage de la plaignante.</w:t>
      </w:r>
    </w:p>
    <w:p>
      <w:r>
        <w:rPr>
          <w:b/>
        </w:rPr>
        <w:t>E. 8</w:t>
      </w:r>
    </w:p>
    <w:p>
      <w:r>
        <w:t>a) Vu ce qui précède, X.________ doit être acquitté de la prévention de gestion déloyale aggravée, à mesure que le la preuve du dommage de la plaignante n’a pas été rapportée. L’appel doit dès lors être admis. b) Cela a pour conséquence que le prévenu n’a pas à supporter toute ou partie des frais de la cause qui ont été arrêtés en première instance à 10'312 francs et qui ont été mis à sa charge à hauteur de 9'280 francs (art. 428 al. 3 CPP). c) Au terme de l’article 429 al. 1 let. c CPP, si le prévenu est acquitté totalement ou en partie ou s’il bénéficie d’une ordonnance de classement, il a droit à une indemnité pour les dépenses occasionnées par l’exercice raisonnable de ses droits de procédure. En l’occurrence, s’agissant de la première instance, l’avocat de l’appelant a déposé un mémoire d’honoraires portant sur une activité de 62,45 heures au tarif de 400 francs de l’heure représentant 22'664.25 francs y compris les frais et la TVA. En premier lieu il faut relever que l’activité de Me O.________, qui a été déployée en première instance pour la défense de X.________ se rapporte à la période comprise entre le 25 janvier 2016 et le 26 juin 2020, soit avant le 1 er mai 2021, quand est entré en vigueur l’article 36a LI-CPP qui fixe désormais le tarif des honoraires pour la fixation de l’indemnité 429 CPP. Auparavant dans le canton de Neuchâtel l’indemnité était généralement allouée au tarif de 270 francs de l’heure, lequel paraît adapté aux cas particuliers ( CPEN.2018.105 ; CPEN.2018.75 ). En outre, l’indemnisation forfaitaire de 5 % des frais prévue pour l’avocat d’office à l’article 57 LTFrais ne s’applique pas au défenseur privé ( RJN 2018, p. 543 ). Pour le reste, l’activité du mandataire de la défense ne paraît pas excessive au vu de la difficulté de la nature de la cause, l’indemnité 429 CPP auquel il a droit pour la première instance sera donc arrêtée à 18'159.85 francs (62,45 heures x 270 francs = 16'861.50 francs auquel s’ajoutent les 7,7 % de TVA soit 1'298.35 francs ; 16'861.50 + 1'298.35 donnent 18'159.85 francs). d) En outre il convient d’arrêter les frais de la procédure d’appel à 2'500 francs et de les laisser à la charge de l’Etat. Pour la procédure d’appel, le prévenu obtient également gain de cause et peut prétendre à une indemnité au sens de l’article 429 al. 1 let. a CPP. L’avocat de l’appelant a déposé un mémoire d’honoraires portant sur une activité de 16.5 heures au tarif de 400 francs de l’heure et de 6 heures à 200 francs de l’heure, représentant un total de 7'969.80 francs, frais et TVA compris. Cette rémunération est excessive et ne tient pas compte du fait que le mandataire connaissait déjà le dossier pour avoir assuré la défense de son client devant le tribunal de police. En outre, depuis l’entrée en vigueur, le 1 er mai 2021, de l’article 36a al. 1 LI-CPP , cette disposition fixe désormais le tarif des honoraires pour l’indemnité 429 CPP à 240 francs pour un avocat et à 130 francs pour un stagiaire, pour autant qu’un tarif supérieur ne doive pas être alloué, compte tenu de l’importance exceptionnelle de la cause ou des compétences spécifiques qu’elle exige. Selon l’article 36a al. 3 LI-CPP , les temps et frais de déplacement sont indemnisés au tarif des transports publics en première classe, pour les déplacements hors canton. En l’occurrence, au vu de l’importance de la cause et de sa difficulté, le tarif de 240 francs de l’heure, qui ne paraît nullement inéquitable, sera adopté. Le temps de rédaction pour la déclaration d’appel motivée sera ramené à 10 heures. L’indemnité 429 CPP peut ainsi être fixée, TVA comprise, à 4’997.30 francs (total de 18.5h x 240 = 4’440 francs; 4’440 francs + 200 francs pour le billet de train aller et retour = 4'640 francs ; +7.7 % = 357.28 francs ; 4'640 + 357.28 = 4'997.28).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