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CPEN.2020.34 vom 24. März 2021</w:t>
      </w:r>
    </w:p>
    <w:p>
      <w:r>
        <w:t>NE Tribunal cantonal, 2021-03-24, FR</w:t>
      </w:r>
    </w:p>
    <w:p>
      <w:r>
        <w:rPr>
          <w:b/>
        </w:rPr>
        <w:t xml:space="preserve">Quelle: </w:t>
      </w:r>
      <w:r>
        <w:t>https://mcp.opencaselaw.ch/entscheid/ne_gerichte_CPEN.2020.34</w:t>
      </w:r>
    </w:p>
    <w:p>
      <w:r>
        <w:t>FR: NE_GERICHTE CPEN.2020.34 du 24 mars 2021</w:t>
      </w:r>
    </w:p>
    <w:p>
      <w:r>
        <w:t>IT: NE_GERICHTE CPEN.2020.34 del 24 marzo 2021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de la LF du 13 déc. 2002, en vigueur depuis le 1erjanv.2007 (RO20063459;FF19991787).</w:t>
      </w:r>
    </w:p>
    <w:p>
      <w:r>
        <w:t>1Celui qui, de toute autre manière, aura, par la parole, lécriture, limage, le geste ou par des voies de fait, attaqué autrui dans son hon­neur sera, sur plainte, puni dune peine pécuniaire de 90 jours-amende au plus.199</w:t>
      </w:r>
    </w:p>
    <w:p>
      <w:r>
        <w:t>2Le juge pourra exempter le délinquant de toute peine si linjurié a directement provoqué linjure par une conduite répréhensible.</w:t>
      </w:r>
    </w:p>
    <w:p>
      <w:r>
        <w:t>3Si linjurié a riposté immédiatement par une injure ou par des voies de fait, le juge pourra exempter de toute peine les deux délinquants ou lun deux.</w:t>
      </w:r>
    </w:p>
    <w:p>
      <w:r>
        <w:t>199Nouvelle teneur du membre de phrase selon le ch. II 1 al. 16 de la LF du 13 déc. 2002, en vigueur depuis le 1erjanv.2007 (RO20063459;FF19991787).</w:t>
      </w:r>
    </w:p>
    <w:p>
      <w:r>
        <w:t>Celui qui, en usant de violence envers une personne ou en la menaçant dun dommage sérieux, ou en lentravant de quelque autre manière dans sa liberté daction, laura obligée à faire, à ne pas faire ou à lais­ser faire un acte sera puni dune peine privative de liberté de trois ans au plus ou dune peine pécuniaire.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