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CPEN.2020.27 vom 30. Dezember 2020</w:t>
      </w:r>
    </w:p>
    <w:p>
      <w:r>
        <w:t>NE Tribunal cantonal, 2020-12-30, FR</w:t>
      </w:r>
    </w:p>
    <w:p>
      <w:r>
        <w:rPr>
          <w:b/>
        </w:rPr>
        <w:t xml:space="preserve">Quelle: </w:t>
      </w:r>
      <w:r>
        <w:t>https://mcp.opencaselaw.ch/entscheid/ne_gerichte_CPEN.2020.27</w:t>
      </w:r>
    </w:p>
    <w:p>
      <w:r>
        <w:t>FR: NE_GERICHTE CPEN.2020.27 du 30 décembre 2020</w:t>
      </w:r>
    </w:p>
    <w:p>
      <w:r>
        <w:t>IT: NE_GERICHTE CPEN.2020.27 del 30 dicembre 2020</w:t>
      </w:r>
    </w:p>
    <w:p>
      <w:pPr>
        <w:pStyle w:val="Heading2"/>
      </w:pPr>
      <w:r>
        <w:t>Erwägungen</w:t>
      </w:r>
    </w:p>
    <w:p>
      <w:r>
        <w:rPr>
          <w:b/>
        </w:rPr>
        <w:t>E. 5</w:t>
      </w:r>
    </w:p>
    <w:p>
      <w:r>
        <w:t>a) A bien lire son mémoire d’appel, l’appelante semble contester que son comportement doive être qualifié d’escroquerie, en particulier que la tromperie fût astucieuse, qu’elle a agi par un comportement actif et qu’il s’en est suivi un dommage. b) En vertu de l'article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c) La jurisprudence (arrêt du TF du 05.04 2019 [6B_312/2019] cons. 2.1) précise que cette disposition réprime le comportement consistant à tromper la dupe. Pour qu'il y ait escroquerie, une simple tromperie ne suffit cependant pas ; il faut qu'elle soit astucieuse. Il y a tromperie astucieuse, au sens de l'article 146 CP ,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 ATF 142 IV 153 cons. 2.2.2 ; 135 IV 76 cons. 5.2).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 ATF 142 IV 153 cons. 2.2.2 ; 135 IV 76 cons. 5.2). Ainsi, n'importe quelle négligence de sa part ne suffit pas à exclure l'astuce ( ATF 126 IV 165 cons. 2a p. 172). Il n'est donc pas nécessaire que la dupe soit exempte de la moindre faute (arrêt du TF du 27.10.2011 [ 6B_314/2011 ] cons. 3.2.1). d) L’infraction d’escroquerie se commet en principe par une action. Telle est le cas lorsqu’elle est perpétrée par actes concluants ( ATF 140 IV 11 cons. 2.3.2). L’assuré qui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Le fait de continuer à percevoir des prestations allouées ne saurait être interprété comme la manifestation positive – par acte concluant – du caractère inchangé de la situation. Il convient en revanche d’analyser la situation de façon différente lorsque la perception de prestation est accompagnée d’autres actions permettant objectivement d’interpréter le comportement de l’assuré comme étant l’expression du caractère inchangé de la situation. Tel sera le cas lorsque l’assuré ne répond pas ou pas de manière conforme à la vérité aux questions explicites de l’assureur destinées à établir l’existence de modification de sa situation personnelle, médicale ou économique ; il n’est en effet plus question alors d’une escroquerie par omission, mais d’une tromperie active ( ATF 140 IV 206 cons. 6.3.1.3 et les références citées). e) L’escroquerie peut aussi être commise par un comportement passif, contraire à une obligation d’agir (art. 11 al. 1 CP). Tel est le cas, lorsque l’auteur n’empêche pas la lésion du bien juridique protégé, bien qu’il y soit tenu à raison de sa situation juridique, notamment en vertu de la loi ou d’un contrat (art. 11 al. 2 let. a et b CP ; ATF 136 IV 188 cons. 6.2). Dans cette hypothèse, l’auteur n’est punissable que si, compte tenu des circonstances il encourt le même reproche que s’il avait commis l’infraction par un comportement actif (art. 11 al. 3 CP). L’auteur doit ainsi occuper une position de garant qui l’obligeait à renseigner ou à détromper la dupe ( ATF 140 IV 11 cons. 2.3.2). Il n’est pas contesté qu’un contrat ou la loi puisse être la source d’une telle position de garant. N’importe quelle obligation juridique ou contractuelle ne suffit toutefois pas. En particulier, l’obligation de renseigner prévue par la loi ou un contrat ne crée pas à elle seule une position de garant ( ATF 140 IV 11 cons. 2.4). f) En matière d’aide sociale, la Cour pénale a rappelé ( RJN 2015, p.179 ) qu’une infraction d’escroquerie par commission est réalisée lorsque le bénéficiaire de l’aide sociale signe lors des entretiens avec son assistant social, les budgets mensuels n’indiquant rien dans la colonne des revenus, et n’informant pas les services sociaux du contrat de travail et des salaires qu’il perçoit. Ce faisant, le prévenu a intentionnellement caché à ceux-ci les informations qu’il aurait dû leur transmettre en leur laissant croire que sa situation professionnelle n’avait pas changé. Par contre, la Cour pénale a estimé que la prévention d’escroquerie ne pouvait pas être retenue pour les faits relatifs au mois pour lequel le budget signé faisait défaut. Pour ce mois, une omission punissable ne pouvait pas être retenue, car la seule l’obligation d’informer prévue à l’article 42 LASoc ne suffisait pas pour considérer le bénéficiaire comme un garant. Les faits qui échappaient à la qualification d’escroquerie devaient toutefois être examinés sous l’angle d’une violation de l’article 73 al. 1 let. b LASoc . g) Subjectivement, l’escroquerie est une infraction intentionnelle. L’intention doit porter sur tous les éléments constitutifs objectifs de l’infraction, c’est-à-dire que l’auteur doit savoir (au moins au degré du dol éventuel) que, par ses agissements, il induit ou conforte la victime dans une erreur qui la motivera à accomplir un acte préjudiciable à son patrimoine ou à celui d’un tiers ( Gabarski/Borsodi , in CR CP, II, n. 121 ad art. 146). L’auteur agit par dol éventuel quand il tient pour possible la réalisation de l’infraction et l’accepte au cas où celle-ci se produirait (art. 12 al. 2 CP). Le dol éventuel suppose que l’auteur qui ne veut pas le résultat dommageable pour lui-même, envisage le résultat de son acte comme possible et l’accepte ou s’en accommode au cas où il se produirait, même s’il préfère l’éviter (arrêts du TF du 18.07.2017 [6B_1117/2016] cons. 1.1.2 et du 02.04.2019 [6B_perie astuceuse259/2019] cons. 5.1). Le dol éventuel peut notamment être retenu lorsque la réalisation du résultat devait apparaître suffisamment vraisemblable à l’auteur pour que son comportement ne puisse raisonnablement être interprété que comme une acceptation de ce risque ; les mobiles de l’auteur et la manière dont il a agi peuvent constituer des éléments extérieurs révélateurs (arrêt de 2017 précité, cons. 1.1.4). h) Enfin, selon l’article 42 LASoc , le bénéficiaire est tenu de signaler sans retard à l’autorité d’aide sociale, respectivement au GSR , tout changement dans sa situation pouvant entraîner la modification de l’aide. i) En l’espèce, il semble que l’appelante conteste avoir adopté un comportement actif. Cependant, il est établi que le couple a, en juin 2014, annoncé sa séparation au GSR . Cet avis s’est objectivement concrétisé puisque le budget mensuel indiquait, jusqu’au mois de mai 2014 (pour le mois de juin), deux personnes dans le ménage, puis, dès juillet 2014, une seule personne dans le ménage. Le montant versé au titre de l’aide publique s’en est d’ailleurs trouvé augmenté considérablement, ce qui n’a pas pu échapper à l’appelante. Pour toute la période pénale et à deux exceptions irrelevantes près, l’appelante a apposé sa signature sur les relevés comptables mensuels. Enfin, elle a déclaré en audience que sa référente lui posait systématiquement la question de savoir si quelque chose avait changé dans sa situation, ce par quoi elle répondait par la négative. Il s’agit là de comportements actifs adoptés par l’appelante et non d’une simple omission de renseigner l’autorité. L’appelante ne saurait ainsi s’exonérer faute d’avoir, vis-à-vis de l’autorité d’aide sociale, une position de garant. j) L’appelante discute ensuite le caractère astucieux de la tromperie. La Cour pénale peut faire siennes les considérations du premier juge à cet égard. Il aura fallu à l’ORCT de nombreuses recherches et investigations pour établir le réel lieu de vie de A.________. Il n’appartient à l’évidence pas au GSR , dans chaque dossier, de mener de pareilles investigations pour se prémunir d’une tromperie, et c’est précisément ce sur quoi l’appelante comptait. Il ressort de la procédure, certes de manière allusive, qu’une enquête a déjà été ordonnée en 2014 pour s’assurer de la réalité de la séparation, mais sans donner de résultat. C’est également en vain que l’appelante expose que le Z.________ est une petite localité dans laquelle on ne peut rien cacher lorsque l’on est actif sur les réseaux sociaux. Aussi petite que serait selon elle la commune Z.________, où tout se saurait, ni l’appelante ni A.________ n’ont été en mesure de fournir le moindre élément concret démontrant la matérialité de la prise de domicile séparé de ce dernier. On observe enfin que tous deux ont fourni des explications diverses au sujet de leur vie commune et qu’après qu’elle a admis devant la police que A.________ vivait « à 100 % » chez elle, l’appelante semble revenir sans convaincre sur cette déclaration dans son mémoire d’appel. Dans ces circonstances, l’appelante ne saurait prétendre de bonne foi qu’il était aisé pour sa référente du GSR de demander des précisions et de procéder à des vérifications alors qu’elle-même varie dans ses explications. Il s’ensuit que la tromperie était bien astucieuse. k) C’est enfin en vain que l’appelante dispute sans argumentation particulière l’existence d’un dommage. Elle a signé une reconnaissance de dette de plus de 74'000 francs en faveur de Z.________. Les explications qu’elle a fournies selon lesquelles elle n’aurait pas compris la portée de ce qu’elle signait semblent opportunités et ne convainquent pas. L’appelante et A.________ ont tous deux admis savoir qu’après deux ans de vie commune stable, l’octroi de l’aide publique servie à la première citée serait corrigé en sa défaveur. En outre, il ressort des budgets mensuels signés par l’appelante et versés à la procédure qu’indépendamment du concubinage qualifié qui aurait été retenu dès juillet 2014, les prestations servies à l’appelante ont augmenté dès l’annonce du départ de A.________, dont il était considéré qu’il participait à son loyer jusque-là (loyer non compris : 308 francs d’aide versée d’avril à juin 2014, 617 francs en juillet 2014 puis plus de 800 francs dès août 2014). L’existence d’un dommage est ainsi acquise. l) Pour le surplus et avec raison, l’appelante ne conteste pas substantiellement les autres éléments constitutifs d’une escroquerie de sorte que le verdict de culpabilité doit être confirmé.</w:t>
      </w:r>
    </w:p>
    <w:p>
      <w:r>
        <w:rPr>
          <w:b/>
        </w:rPr>
        <w:t>E. 6</w:t>
      </w:r>
    </w:p>
    <w:p>
      <w:r>
        <w:t>a) L’appelante ne remet pas en cause ni le genre de peine, ni sa quotité. Sur appel joint, le ministère public conclut à ce qu’une peine privative de liberté de six mois avec sursis pendant deux ans soit prononcée en raison de la gravité des faits et de l’importance de la période pénale. b)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par laquelle celui-ci aurait pu éviter la mise en danger ou la lésion, compte tenu de sa situation personnelle et des circonstances extérieures (al. 2). b) La jurisprudence (arrêts du TF du 30.01.2018 [6B_807/2017] cons. 2.1 et du 09.10.2018 [6B_780/2018] cons. 2.1) précise que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c) Le 1 er janvier 2018, le droit des sanctions a été réformé. Aux termes de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d) La peine pécuniaire reste constituer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La faute de l'auteur n'est en revanche pas déterminante ( ATF 144 IV 313 cons. 1.1.1 ; 137 II 297 cons. 2.3.4 p. 301 ; arrêt du TF du 15.11.2017 [6B_420/2017] cons. 2.1). Sous le nouveau droit des sanctions, la peine privative de liberté reste la peine la plus intrusive et, partant, l’ ultima ratio ( ATF 144 IV 217 cons. 3.3.3). e) Au sujet de la peine pécuniaire et de l’article 41 aCP, soit antérieurement à la novelle de 2018, le Tribunal fédéral a eu l’occasion de relever que la peine pécuniaire doit pouvoir être appliquée même aux personnes ayant une faible capacité de revenu. Son exécution doit a priori procéder d'un paiement spontané et non résulter d'une exécution forcée par voie de poursuite. Il s'ensuit que l'exécution de la peine pécuniaire n'est pas rendue impossible du seul fait qu'il apparaît que l'on ne pourra en obtenir le paiement dans une telle procédure. On peut toutefois reconnaître de rares exceptions lorsque la condamnation à une peine pécuniaire n'est pas envisageable pour des motifs relevant de la personne de l'auteur. L'impossibilité d'exécuter une peine pécuniaire ne doit cependant pas être admise à la légère, car la loi exige qu'il soit tenu compte pour fixer la quotité de la peine de la situation personnelle et économique (art. 34 al. 2 CP) (arrêt du TF du 14.10.2015 [6B_1100/2014] cons. 6.3.1). f) Aux termes de l’article 35 al. 1 CP, le délai pour s’acquitter d’une peine pécuniaire est d’un à six mois. Il est prolongeable sur requête. g) En l’espèce, il convient d’admettre avec le ministère public que la peine prononcée par le premier juge apparaît eu égard aux circonstances trop clémente. Seule l’enquête de police a permis de mettre un terme à l’activité de l’appelante. La période pénale est longue et la prise de conscience peut être qualifiée d’inexistante, l’appelante ayant persisté à expliquer qu’elle tenait l’affaire pour « incompréhensible ». Pour sanctionner adéquatement la faute de l’appelante, la Cour pénale estime que le quantum de la peine doit être fixé à 150 jours en lieu et place des trois mois arrêtés par le tribunal. h) En revanche, la Cour pénale reverra le type de peine prononcée (art. 404 al. 2 CPP). Le tribunal a en effet arrêté une peine privative de liberté alors que la quotité de la peine permet – qu’elle soit de trois mois ou de 150 jours – le prononcé d’une peine pécuniaire. Pour ce faire, il a retenu que l’appelante percevait aujourd’hui des prestations complémentaires, ce qui supposait collaboration et transparence de sa part, et que son budget était réduit au minimum vital. i) Sur cette question, le jugement entrepris ne peut être suivi. D’une part, et même si la prise de conscience de l’appelante est en l’état très insuffisante, rien n’indique que le prononcé d’une peine pécuniaire serait dépourvu d’effet. Elle n’a aucun antécédent, ce qui exclut de retenir une insensibilité à la sanction pénale, fût-elle de nature pécuniaire. On ne saurait en outre admettre l’inexécutabilité d’une peine pécuniaire trop facilement, ni la déduire du seul fait que le condamné bénéficie de prestations complémentaires, comme en l’espèce, sans quoi il s’ensuivrait que la peine privative de liberté a de manière systématique la préséance pour les personnes à faible capacité financière ou dépendantes d’une aide publique. La possibilité exceptionnelle offerte par le nouveau droit d’arrêter le montant du jour-amende à 10 francs (art. 34 al. 2 CP) s’en trouverait d’ailleurs vidée de sa substance. Or, même si le nouveau droit des sanctions a objectivement élargi la possibilité de prononcer une peine privative de liberté inférieure à six mois, cela ne remet pas en cause le fait qu’il s’agit d’une peine plus intrusive qui ne doit être considérée qu’avec retenue lorsqu’elle entre en concurrence, comme ici, avec une peine pécuniaire. Enfin, les prestations complémentaires excèdent les normes d’insaisissabilité du droit des poursuites (cf. art. 10 al. 1 let. a LPC d’une part et normes d’insaisissabilité d’autre part) de sorte que le bénéficiaire de prestations complémentaires n’est en principe pas réduit à son minimum vital au sens de la LP, contrairement à ce que retient le jugement entrepris. Une peine pécuniaire devait ainsi être prononcée et le jugement doit être réformé sur ce point. Compte tenu de la situation financière de l’appelante, le montant du jour-amende sera fixé à 30 francs. j) Le sursis, qui n’est pas contesté, est acquis à l’appelante.</w:t>
      </w:r>
    </w:p>
    <w:p>
      <w:r>
        <w:rPr>
          <w:b/>
        </w:rPr>
        <w:t>E. 7</w:t>
      </w:r>
    </w:p>
    <w:p>
      <w:r>
        <w:t>a) L’appel principal est ainsi admis s’agissant de la qualité de partie de Z.________ et des conclusions civiles de celle-ci et rejeté pour le surplus. L’appel joint du ministère public est partiellement admis. Le jugement entrepris est également modifié en faveur de l’appelante sur un point exorbitant des conclusions qu’elle a prises. Il se justifie dès lors de mettre les frais de la procédure d’appel, arrêtés à 1’200 francs, à charge de l’appelante à concurrence de deux tiers et de les laisser à la charge de l’Etat pour le surplus (art. 428 al. 1 CPP). b) Le mandataire d’office de l’appelante a droit à une indemnité pour la procédure d’appel, conformément au mémoire qu’il a présenté et qui peut être accepté. L’indemnité sera dès lors fixée au montant de 1'589.30 francs, frais et TVA compris. Cette indemnité sera remboursable à l’Etat par l’appelante, aux conditions de l’article 135 al. 4 CPP, à concurrence des deux tiers.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