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CPEN.2019.101 vom 28. Mai 2020</w:t>
      </w:r>
    </w:p>
    <w:p>
      <w:r>
        <w:t>NE Tribunal cantonal, 2020-05-28, FR</w:t>
      </w:r>
    </w:p>
    <w:p>
      <w:r>
        <w:rPr>
          <w:b/>
        </w:rPr>
        <w:t xml:space="preserve">Quelle: </w:t>
      </w:r>
      <w:r>
        <w:t>https://mcp.opencaselaw.ch/entscheid/ne_gerichte_CPEN.2019.101</w:t>
      </w:r>
    </w:p>
    <w:p>
      <w:r>
        <w:t>FR: NE_GERICHTE CPEN.2019.101 du 28 mai 2020</w:t>
      </w:r>
    </w:p>
    <w:p>
      <w:r>
        <w:t>IT: NE_GERICHTE CPEN.2019.101 del 28 maggio 2020</w:t>
      </w:r>
    </w:p>
    <w:p>
      <w:pPr>
        <w:pStyle w:val="Heading2"/>
      </w:pPr>
      <w:r>
        <w:t>Erwägungen</w:t>
      </w:r>
    </w:p>
    <w:p>
      <w:r>
        <w:rPr>
          <w:b/>
        </w:rPr>
        <w:t>E. 1</w:t>
      </w:r>
    </w:p>
    <w:p>
      <w:r>
        <w:t>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rPr>
          <w:b/>
        </w:rPr>
        <w:t>E. 6</w:t>
      </w:r>
    </w:p>
    <w:p>
      <w:r>
        <w:t>a) En rapport avec le chiffre IX de l’acte d’accusation (brigandage au préjudice de O 1 ________, que le prévenu aurait frappé à coups de batte de baseball et à qui il aurait soustrait un téléphone portable), le tribunal de police a retenu que les faits n’étaient pas suffisamment établis : le plaignant n’avait pas été entendu formellement et ses déclarations, telles que relatées indirectement par le rapport de police, étaient entièrement contestées par le prévenu ; le doute devait profiter au prévenu. b) Le ministère public considère que même si le prévenu ne s’est pas servi d’une batte de baseball, il n’a pas demandé « gentiment » au lésé de lui remettre son téléphone. Si le lésé n’a pas pu être entendu formellement, c’est en raison de sa fragilité. On ne peut pas privilégier les déclarations du prévenu. Le père du lésé a décrit les faits. c) Le prévenu, par sa mandataire, relève qu’il a partiellement admis les faits. Le lésé n’a pas été entendu et n’a pas déposé de plainte. Son père n’a pas assisté à la scène. Les contusions dont il est question ne sont pas établies par des photographies ou un certificat médical. Un doute subsiste, qui doit lui profiter. d) La teneur de l’article 140 CP et sa précision par la jurisprudence ont déjà été rappelés plus haut. e) En l’espèce, la Cour pénale constate tout d’abord qu’il n’est pas exact que le prévenu aurait entièrement contesté les faits. Interrogé par la police le 6 mai 2019, il a en effet déclaré ceci : « il y a eu une fois une altercation avec un type qui se nomme O 1 ________ […]. En fait, ce type me devait de l’argent, CHF 350.00. […] En fait, effectivement je lui ai pris son natel pour lui demander de me rendre cet argent. Pour vous répondre, je lui ai pris lors d’une altercation. Nous nous sommes tous les deux frappés, il y a eu quelques coups échangés. Il était accompagné de ceux (sic) amis. Vous me demandez si j’ai utilisé une batte de baseball pour le frapper, en aucun cas, c’est des mensonges. Aussi, j’ai pris le téléphone, un Samsung S8 […]. Je lui ai donné une date limite pour que je récupère mon argent. Comme il n’a pas respecté cet engagement, j’ai vendu ce téléphone à une connaissance » . Devant le tribunal de police, le prévenu a déclaré ceci : « O 1 ________ me devait de l’argent. Je l’ai vu en descendant au magazin. Il était avec deux potes à lui […] Je lui ai demandé de me donner son natel comme remboursement à la place de l’argent. Il n’a pas voulu et a commencé à me pousser. Je me suis défendu. Ses copains regardaient. On s’est battus. Il a commencé à crier fort et à me pousser. À ce moment-là, je lui ai pris son natel qui se trouvait dans sa main » . À l’audience de la Cour pénale, le prévenu a dit ceci : « Il m’avait demandé de lui prêter de l’argent. Cela devait être 200 ou 300 francs. Je lui ai prêté. Il ne m’a pas rendu l’argent. Je lui ai demandé qu’il me remette son téléphone. L’idée était que je garde ce téléphone et le lui rende après qu’il m’aurait rendu l’argent. Nous nous sommes battus et après il m’a donné le téléphone. La raison de la bagarre, c’était qu’il ne voulait pas me donner le téléphone. Plus tard, il n’avait pas trouvé l’argent pour me rendre ce qu’il me devait. Il a été d’accord que je vende le téléphone. Vous me rappelez que j’avais dit que j’avais pris le téléphone qui se trouvait dans la main de l’autre. C’est juste. En fait, c’est lui qui m’a remis le téléphone, ce n’est pas moi qui l’ai pris. Vous me rappelez que j’avais dit que je lui avais pris l’appareil, lors d’une altercation. Pour moi, prendre c’est la même chose que le fait pour lui de me donner. La procureure me demande en quoi consistait l’altercation. Nous avons échangé des coups de poing. C’est après cela que l’autre m’a remis son appareil. La présidente me demande si l’altercation aurait repris si je n’avais pas reçu le téléphone. Non, ce n’est pas le cas. J’avais besoin d’argent et pour que ça aille plus vite, j’ai trouvé que lui proposer qu’il me remette son téléphone était un bon moyen. Je conteste qu’il y ait eu une batte de baseball. Je ne sais pas pourquoi l’autre dit que j’en aurais utilisé une. Il faut lui poser la question. Me P.________ me demande si l’autre m’a remis le téléphone ou si je le lui ai arraché des mains. C’est lui qui me l’a remis. Dans la bagarre, c’est lui qui m’a donné le premier coup, parce qu’il était nerveux ». En fonction de ces déclarations, il convient de retenir que le prévenu estimait que O 1 ________ lui devait de l’argent, qu’il a décidé de lui prendre son téléphone portable afin que l’appareil serve de garantie pour le remboursement, que O 1 ________ n’était pas d’accord, que le prévenu a donné des coups à l’intéressé (la victime le frappant aussi) et qu’il a ainsi pu lui soustraire son téléphone portable. La version édulcorée présentée par le prévenu devant la Cour pénale ne convainc pas. Il convient bien plus de se référer aux déclarations précédentes, faites alors que le prévenu était moins conscient de leurs conséquences juridiques ( RJN 2019, p. 417, p.421 ). Dans ces déclarations, le prévenu a dit très clairement qu’il avait « pris » le téléphone du lésé, et pas que celui-ci le lui avait remis. La réticence de la victime à remettre l’appareil est clairement établie par toutes les explications données par le prévenu lui-même. Il a fallu qu’il se batte avec elle pour finalement réussir à lui prendre le téléphone. L’usage de la violence était de toute évidence en lien avec la volonté du prévenu de prendre l’appareil contre la volonté de celui qui le détenait. Le doute subsiste sur la manière dont le prévenu a frappé la victime et il ne sera donc pas retenu qu’il se serait servi d’une batte de baseball, mais bien qu’il lui a porté des coups. Par contre, il n’existe pas de doute sur le fait que c’est par l’application d’une certaine violence que le prévenu a réussi à soustraire le téléphone, qui ne lui appartenait pas. Sans l’usage de cette violence, le prévenu n’aurait pas pu s’approprier l’appareil appartenant à la victime. La Cour pénale retient dès lors que le prévenu s’est bien rendu coupable d’un brigandage, ceci en se fondant sur les propres déclarations du prévenu, de sorte qu’il n’est pas nécessaire de s’appuyer sur les autres éléments, soit sur ce que la victime et son père ont dit à des policiers (tout en relevant la concordance sur le fait que c’est bien par la violence que le prévenu a soustrait le téléphone). L’appel du ministère public doit être admis sur ce point.</w:t>
      </w:r>
    </w:p>
    <w:p>
      <w:r>
        <w:rPr>
          <w:b/>
        </w:rPr>
        <w:t>E. 7</w:t>
      </w:r>
    </w:p>
    <w:p>
      <w:r>
        <w:t>a) Le tribunal de police, en fonction des faits et qualifications juridiques qu’il a retenus, a prononcé contre le prévenu une peine privative de liberté de 7 mois. Le prévenu n’a pas déposé d’appel. Le ministère public demande une peine privative de liberté de 10 mois. b) D’après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 Selon la jurisprudence ( ATF 144 IV 313 cons. 1.1.1), l'exigence que les peines soient de même genre implique que le juge examine, pour chaque infraction commise, la nature de la peine à prononcer pour chacune d'elles. Le prononcé d'une peine d'ensemble en application du principe de l'aggravation contenu à l'article 49 CP n'est ensuite possible que si le juge choisit, dans le cas concret, le même genre de peine pour sanctionner chaque infraction commise. Le choix de la sanction doit être opéré en tenant compte au premier chef de l'adéquation de la peine, de ses effets sur l'auteur et sur sa situation sociale ainsi que de son efficacité du point de vue de la prévention. La faute de l'auteur n'est en revanche pas déterminante. d) Le Tribunal fédéral retient en outre ( ATF 144 IV 313 cons. 1.1.2)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Ce système ne prévoit aucune exception. e) L’article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f)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g) D’après la jurisprudence (arrêt du TF du 15.08.2019 [6B_584/2019]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h) En l’espèce, toutes les infractions à retenir doivent être sanctionnées par des peines privatives de liberté, ce que personne ne conteste, étant rappelé que le tribunal de police a déjà renoncé à prononcer une amende pour les contraventions. Cette conclusion s’impose en fonction de l’ancien droit, s’agissant des infractions commises avant le 1 er janvier 2018, dans la mesure où les conditions du sursis ne sont pas réunies, comme on le verra plus loin, et où une peine pécuniaire ne pourrait pas être exécutée, vu l’absence totale de moyens propres, pas plus que ne pourrait l’être un travail d’intérêt général, le prévenu ayant démontré qu’il n’arrive pas à suivre une activité régulière (cf. art. 41 al. 1 aCP). Pour les infractions commises après le 1 er janvier 2018, il faut retenir qu’une peine pécuniaire ne pourrait pas détourner le prévenu de commettre de nouvelles infractions, de telles peines prononcées entre 2017 et 2019 n’ayant pas suffi à amener le prévenu à ne pas récidiver, et, comme déjà dit, une peine ne pourrait de toute manière pas être exécutée (art. 41 al. 1 nCP). i) La peine à prononcer sanctionnera des faits survenus entre le 9 et le 18 juillet 2017 (ch. I de l’acte d’accusation ; vol, etc.), le 10 septembre 2017 (ch. VI ; vol), le 30 septembre 2017 (ch. II ; vol, etc.), le 29 octobre 2017 (ch. V ; menaces), entre le 7 et le 9 mars 2018 (ch. III/1 ; vol), en novembre 2018 (ch. VIII ; stupéfiants), le 3 janvier 2019 (ch. III/2 ; vol) et dans la nuit du 19 au 20 janvier 2019 (ch. IX ; brigandage). Comme il s’agit d’une peine privative de liberté, elle n’est pas complémentaire, mais cumulative aux peines précédentes, qui étaient des peines pécuniaires (31 octobre 2017 : 10 jours-amende sans sursis et amende de 500 francs pour voies de fait et dommages à la propriété ; 8 février 2018 : 20 jours-amende avec sursis pendant 2 ans et 300 francs d’amende pour conduite d’un véhicule sans moteur en état d’incapacité, violence ou menace contre les autorités et les fonctionnaires et délit et contravention contre la loi sur les stupéfiants ; 18 janvier 2019 : 90 jours-amende avec sursis pendant 2 ans pour émeute, dommages à la propriété et violence ou menace contre les autorités et les fonctionnaires). j) Aucune des parties ne critique les éléments d’appréciation retenus en première instance pour la fixation de la peine privative de liberté. La Cour pénale peut les faire siens, sans avoir à les paraphraser (art. 82 al. 4 CPP), avec toutefois la différence qu’en fait, plusieurs infractions ont été commises après la première des condamnations précédentes, contrairement à ce qu’à retenu le tribunal de police. Cela étant, il faut partir, pour le calcul selon la jurisprudence fédérale, de l’infraction abstraitement la plus grave, soit le brigandage, pour laquelle la peine minimale est de 6 mois (art. 140 CP). La Cour pénale s’arrêtera à ce minimum, dans la mesure où on se trouve, dans le cas d’espèce, au seuil inférieur de gravité pour ce genre d’infraction. Les peines retenues en première instance pour les autres infractions n’ont fait l’objet d’aucune critique de la part des parties. Elles semblent effectivement adéquates (60 jours pour chacun des deux vols par effraction, 30 jours pour chacun des vols visés aux chiffres IV et III.2, 10 jours pour les faits du chiffre V, 10 jours pour le vol du chiffre III.1, 10 jours pour les infractions à la LStup), mais la Cour pénale estime qu’il ne convient pas d’aller au-delà des réquisitions du ministère public et prononcera donc une peine d’ensemble de 10 mois.</w:t>
      </w:r>
    </w:p>
    <w:p>
      <w:r>
        <w:rPr>
          <w:b/>
        </w:rPr>
        <w:t>E. 8</w:t>
      </w:r>
    </w:p>
    <w:p>
      <w:r>
        <w:t>a) Le tribunal de police a accordé le sursis au prévenu, en considérant que les conditions objectives en étaient réalisées, que la grande majorité des infractions avaient été commises avant la première condamnation du prévenu et que, jugé à cette date, nul doute que le sursis lui aurait été octroyé ; pour donner toutes les chances au sursis de déployer ses effets et dissuader le prévenu de commettre de nouvelles infractions, il se justifiait d’ordonner une assistance de probation, avec diverses règles de conduite, lesquelles paraissaient suffisantes pour détourner le prévenu d’autres crimes ou délits. b) Le ministère public estime que le sursis ne se justifie pas. Il rappelle les antécédents du prévenu et souligne la récurrence de ses agissements. Dès lors, il n’est pas possible de retenir autre chose qu’un pronostic défavorable, étant précisé que ce pronostic doit être fait sur la base de la situation au moment du jugement. c) Par sa mandataire, le prévenu expose que les infractions des chiffres III et VIII de l’acte d’accusation ont été commises avant la première condamnation. Le prévenu a manifesté des scrupules et la volonté de se réinsérer. Avec l’assistance de probation et les règles de conduite décidées par le tribunal de police, le risque de récidive n’est pas si important qu’il devrait empêcher l’octroi du sursis. d) D’après l’article 42 al. 1 CP , dont la teneur n’a pas changé, en rapport avec le type de peine concerné, avec la révision entrée en vigueur le 1 er janvier 2018, le juge suspend en règle générale l'exécution d'une peine pécuniaire ou d'une peine privative de liberté de deux ans au plus lorsqu'une peine ferme ne paraît pas nécessaire pour détourner l'auteur d'autres crimes ou délits. e) Selon la jurisprudence (arrêt du TF du 28.11.2019 [6B_1216/2019] cons. 5.1),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f) En l’espèce, les infractions commises sont de gravité moyenne, mais variées, ce qui ne contribue pas à un pronostic favorable dans la mesure où il apparaît que le prévenu est prêt à commettre des crimes et délits de natures très différentes, démontrant ainsi un sérieux penchant à la délinquance. Les antécédents de l’auteur sont franchement mauvais, puisqu’il a déjà subi sept condamnations, dont quatre pour des infractions commises alors qu’il était encore mineur (avec, dans le cas jugé en octobre 2016, une peine de détention de 9 mois). Le prévenu a toujours commis de nouvelles infractions peu après avoir été condamné, de sorte qu’il faut bien constater que les peines pécuniaires, parfois avec sursis, une peine privative de liberté ferme, l’exécution de placements en institution et la détention en prison ne l’ont guère impressionné. Une part non négligeable des infractions ont été commises après la première condamnation du prévenu comme majeur. La présomption d’innocence vaut pour les faits qui ont amené sa mise en détention en juillet 2019 et qui ne sont pas admis (on retiendra qu’au cours de l’enquête dans la présente procédure, le prévenu continuait à vendre et consommer du cannabis). La situation personnelle du prévenu n’est pas brillante, puisqu’il n’a jamais occupé d’emploi rémunéré depuis la fin de sa scolarité obligatoire, a des dettes et vit de l’aide des services sociaux ou de celle de sa mère, selon les périodes. L’assiduité du prévenu à rechercher une occupation professionnelle est toute relative, puisqu’il n’a même pas entamé une activité bénévole qui lui était proposée, selon lui parce qu’il avait appris que son amie était enceinte. Le prévenu a un enfant en bas âge, mais il n’a entretenu avec lui, jusqu’à son arrestation en juillet 2019, que des relations relativement limitées, compte tenu de la possibilité qu’il aurait alors eue de s’en occuper plus assidûment, vu son absence d’activité, et il a d’ailleurs encore récidivé après la naissance de l’enfant. De manière générale, le tableau général qui se dégage du dossier est celui d’un jeune homme qui, dès son adolescence, s’est enfoncé dans la délinquance sans tenir compte des avertissements constitués par des placements, détentions et condamnations et sans faire d’efforts pour assurer lui-même sa subsistance. Dans ces conditions, le pronostic ne peut être que très défavorable, même si le prévenu affirme aujourd’hui avoir changé et vouloir vivre en bon père de famille. En fonction des divers éléments rappelés plus haut, la Cour pénale ne peut pas considérer qu’une assistance de probation suffirait pour ramener le prévenu dans le droit chemin ; une curatelle durant depuis l’adolescence, avec le suivi régulier qu’elle impliquait, n’a d’ailleurs pas suffi non plus à éviter la commission d’infractions nombreuses et variées. g) En conséquence, l’appel du ministère public doit être admis sur la question du sursis et c’est une peine ferme qui devra être prononcée.</w:t>
      </w:r>
    </w:p>
    <w:p>
      <w:r>
        <w:rPr>
          <w:b/>
        </w:rPr>
        <w:t>E. 9</w:t>
      </w:r>
    </w:p>
    <w:p>
      <w:r>
        <w:t>La Cour pénale, comme le tribunal de police, renoncera à révoquer les sursis accordés précédemment. Elle estime inutile que des peines pécuniaires soient mises à exécution, le prévenu n’ayant aucun moyen de s’en acquitter, et qu’il est équitable de ne pas ajouter encore des peines à celle prononcée ce jour et celle à laquelle le prévenu s’expose dans l’autre procédure en cours.</w:t>
      </w:r>
    </w:p>
    <w:p>
      <w:r>
        <w:rPr>
          <w:b/>
        </w:rPr>
        <w:t>E. 10</w:t>
      </w:r>
    </w:p>
    <w:p>
      <w:r>
        <w:t>a) Le tribunal de police a renoncé à prononcer l’expulsion du prévenu, en retenant une gravité moyenne à faible des infractions, celles-ci ayant en outre été commises en grande majorité avant les précédentes condamnations et alors que le prévenu était tout juste majeur. Le prévenu avait grandi en Suisse et y avait passé les années les plus importantes, scolairement et socialement. Son cercle familial le plus restreint se trouvait en Suisse. Il était très jeune et immature. Dans son pays d’origine, il n’avait pas de cercle familial capable de le soutenir et de l’encadrer suffisamment (père absent et grand-mère âgée) et tout portait à croire qu’il y serait voué à lui-même. Il était sous curatelle et se retrouverait sans soutien de ce type dans son pays d’origine. L’intérêt public à l’expulsion ne l’emportait pas sur l’intérêt privé du prévenu à rester en Suisse. b) Le ministère public demande que l’expulsion soit prononcée. Il souligne la gravité non négligeable des infractions à sanctionner, le risque de récidive élevé, les liens familiaux pas suffisamment intenses pour qu’il soit renoncé à l’expulsion, les relations avec l’amie qui ne semblent pas forcément harmonieuses, l’absence d’attaches sociales en Suisse et des liens avec de la parenté dans le pays d’origine. c) Lors de son interrogatoire devant la Cour pénale, le prévenu a donné les explications suivantes : « C’est juste que j’ai ma grand-mère et mon père en République dominicaine. Ma mère me donne des nouvelles de ma grand-mère, mais je n’ai pas de contacts directs avec cette dernière. Elle est très vieille. Elle a plus de 90 ans. J’ai de temps en temps mon père au téléphone. Je l’appelle surtout pour parler à mon petit frère, qui vit avec lui. Avec mon père, c’est difficile, car il a eu 3 enfants avec ma mère et encore 6 avec une autre femme. Vous me demandez si j’ai des projets. J’aimerais vivre avec mon fils. Sa mère aimerait vivre avec moi. C’est vrai que j’ai fait des conneries, aussi encore après la naissance de mon fils en février 2019, mais j’aimerais maintenant payer ce que je dois, soit purger ma peine pendant qu’il est encore petit et ne se rend pas compte. Ensuite, je pourrai vivre avec lui et trouver un travail. Mon amie, la mère de mon fils, commencera à travailler dans 3 mois. Elle est italienne et a un permis C » . Par sa mandataire, il admet que les conditions de l’expulsion obligatoire sont réunies, mais invoque la clause de rigueur. Il a fait sa scolarité en Suisse. Sa famille proche est dans notre pays. Il est trop jeune pour avoir déjà tissé de forts liens sociaux et associatifs. Son père, qui vit dans le pays d’origine, ne se soucie pas de lui, car il a de nombreux autres enfants. Ses chances d’intégration dans ce pays sont minces. Dans la pesée d’intérêts, il faut tenir compte du fait qu’il a un enfant en bas âge. Lui-même n’a jamais eu de cadre éducatif strict. Il a certes commis des vols, mais s’est repenti. d) Selon les articles 66a al. 1 let. c et d CP , le juge expulse de Suisse l'étranger qui est condamné pour brigandage (art. 140 CP), respectivement vol (art. 139 CP) en lien avec une violation de domicile (art. 186 CP), quelle que soit la quotité de la peine prononcée à son encontre, pour une durée de cinq à quinze ans. D’après l'article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 En l’espèce, il n’est pas contesté que le prévenu remplit a priori les conditions d'une expulsion (infraction à l’art. 140 CP et aussi à l’art. 139 CP, en lien avec une infraction à l’art. 186 CP), sous la réserve d'une application de l'article 66a al. 2 CP , voire également des normes de droit international. f) Selon la jurisprudence (arrêts du TF du 06.03.2019 [6B_143/2019] cons. 3.2 et du 04.12.2019 [6B_690/2019] cons. 3.4.2), les conditions pour appliquer « exceptionnellement » l'article 66a al. 2 CP sont cumulatives et doivent être appliquées de manière restrictive.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 g) Le Tribunal fédéral rappelle aussi (arrêt du TF du 06.03.2019 [6B_143/2019] cons. 3.3.1) que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Par ailleurs, les relations visées par l'article 8 par. 1 CEDH en matière de « vie familiale » sont avant tout celles qui concernent la famille dite nucléaire, soit celles qui existent entre époux ainsi qu'entre parents et enfants mineurs vivant en ménage commun.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 h) Toujours selon le Tribunal fédéral (même arrêt, cons. 3.4),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notamment importants quand l’auteur s'est livré à un trafic de stupéfiants : compte tenu des ravages de la drogue dans la population, les autorités sont fondées à faire preuve d'une grande fermeté à l'encontre de ceux qui contribuent à la propagation de ce fléau. i) En relation avec l’article 66a al. 2 in fine CP , le Tribunal fédéral retient (arrêt du TF du 04.12.2019 [6B_690/2019] cons. 3.4.4) que le législateur n’a pas prévu qu’une durée déterminée de séjour en Suisse entraînerait automatiquement l’admission d’un cas de rigueur. Il faut examiner dans chaque cas si un tel cas de rigueur existe, en fonction des critères relatifs à l’intégration de la personne concernée. Une longue durée de séjour, avec une bonne intégration – par exemple sur la base d’une scolarisation en Suisse – constitue un fort indice allant dans le sens d’intérêts privés suffisamment importants pour justifier l’admission d’un cas de rigueur. j) En l’espèce, il faut retenir que le prévenu, âgé de 21 ans, est arrivé en Suisse en 2011, alors qu’il avait dix ans environ, avec son frère et sa sœur, pour y rejoindre leur mère, qui s’y trouvait déjà depuis quelques années. Il a suivi une partie de sa scolarité dans notre pays, mais a été expulsé de son école alors qu’il se trouvait en 10 ème année. Il a alors été placé en institution. Sa première condamnation pénale remonte à cette époque, soit en 2013, alors qu’il avait 14 ans (pour des faits que le dossier n’établit pas). Il n’a pas entrepris de formation professionnelle, suivant seulement quelques stages qui n’étaient cependant, selon ses propres termes, rien de bien sérieux. Il a ensuite séjourné en République dominicaine entre août 2014 et janvier 2015, car il pensait s’y installer. Il est en fait revenu en Suisse. En 2015-2016, il a été placé pendant un certain nombre de mois en institution, pour des raisons pénales, mais a en fait passé plus de temps à l’extérieur que dans l’institution, car il faisait des fugues, pour être finalement emprisonné provisoirement. Une condamnation à 9 mois de détention sans sursis a été prononcée contre lui, par le tribunal des mineurs, le 18 octobre 2016, pour des faits qui n’étaient pas anodins, notamment un brigandage. Il a purgé le solde de cette peine. Peu après, le juge des mineurs a encore dû rendre deux ordonnances pénales contre lui, les 7 février et 28 mars 2017, pour séquestration et consommation de cannabis. Devenu majeur en 2017, le prévenu a vécu pendant quelques mois dans un hôtel à Z.________, où les services sociaux l’avaient placé. Ensuite, il a plus ou moins vécu chez sa mère, logeant en fait à gauche et à droite, tout en dépendant des services sociaux dans un premier temps. Par la suite, c’est sa mère qui l’a entretenu. Pendant ce temps, il commettait diverses infractions, qui ont amené à des condamnations par des ordonnances pénales rendues les 31 octobre 2017, 8 février 2018 et 18 janvier 2019, en plus des infractions qui lui sont reprochées dans le cadre de la présente procédure. Il aurait pu commencer un travail bénévole, mais y a renoncé quand il a su que son amie était enceinte. Son fils est né le 19 février 2019. Il a un moment envisagé que les services sociaux mettraient un appartement à sa disposition, pour qu’il puisse y vivre avec son amie et leur enfant. Ils n’ont finalement jamais vécu ensemble, mais le prévenu voyait régulièrement son amie et leur enfant, en principe à raison d’une fois par semaine ou toutes les deux semaines. Il n’avait plus vu son fils depuis trois semaines quand il a été arrêté le 11 juillet 2019, dans le cadre d’une procédure qui est encore en cours. Il est détenu depuis lors. Selon lui, des poursuites pour 25'000 francs sont en cours. Ces éléments démontrent que l’on ne peut en aucun cas parler d’une intégration plus ou moins réussie. Le prévenu n’a pas pu terminer sa scolarité obligatoire normalement, car il s’est fait expulser de l’école. Entre la fin de sa scolarité et ce jour, il n’a jamais occupé un emploi rémunéré, ni entrepris une quelconque formation. Le dossier ne contient aucun élément attestant de recherches d’emploi sérieuses. Le prévenu a été soutenu, tour à tour, par les services sociaux et sa mère. Son parcours personnel est émaillé de crimes et délits variés, allant du brigandage au trafic de stupéfiants, en passant par la séquestration, le vol et les violences ou menaces contre des fonctionnaires, qui lui ont déjà fait passer un certain temps dans des institutions pénales pour mineurs et en prison. Il y a eu de nouvelles infractions depuis le printemps 2019 (trafic et consommation de stupéfiants, qu’il admet), qui ont entraîné la mise en détention dès juillet de la même année. Le prévenu a certes passé une dizaine d’années en Suisse et y a suivi une partie de sa scolarité, mais le critère de la durée doit être relativisé, tant le prévenu n’a pas mis cette durée à profit pour s’intégrer dans le monde du travail et, plus largement, dans la société et dans la mesure où le prévenu a passé, durant cette période, plusieurs mois en institution et en prison alors qu’il était encore mineur, puis environ six mois dans son pays d’origine en 2014-2015, et où il est à nouveau détenu depuis juillet 2019. On ne trouve au dossier aucun élément qui permettrait de retenir une volonté du prévenu de prendre part à la vie économique et d'acquérir une formation. À cet égard, il est assez parlant que le prévenu ait renoncé à une activité bénévole, mais régulière qui lui était offerte quand il a appris que son amie était enceinte. Le prévenu ne fait état d’aucune activité sociale autre que la fréquentation de quelques copains, de son amie et de certains membres de sa famille. Il faut donc retenir une intégration particulièrement faible, compte tenu aussi du nombre, de la fréquence et de la nature des infractions commises. La situation financière du prévenu est mauvaise, avec des poursuites pour environ 25'000 francs et l’absence de tout revenu propre depuis sa sortie de scolarité. Sa situation familiale ne s’oppose pas à l’expulsion, dans la mesure où le prévenu ne vit pas avec la mère de son fils et où il ne semble pas avoir entretenu, avant son placement en détention en juillet 2019, des liens spécialement étroits avec l’enfant, qu’il n’avait pas vu depuis trois semaines au moment de son arrestation, alors qu’il ne travaillait pas et aurait eu la possibilité de lui consacrer beaucoup de temps. Rien n’empêcherait que le prévenu conserve, d’une manière ou d’une autre et grâce aux moyens de communication moderne, des relations avec son enfant et la mère de celui-ci, pour autant d’ailleurs que la mère ne décide pas de le suivre en République dominicaine. L’état de santé du prévenu est sans particularité. Une procédure de renouvellement de l’autorisation de séjour est en cours, mais elle est suspendue dans l’attente des jugements pénaux (celui dans la présente cause, puis un prochain jugement à rendre début juillet 2020, selon ce que le prévenu et sa mandataire ont expliqué devant la Cour pénale). La situation administrative du prévenu n’est donc pas assurée dans notre pays. Les perspectives de réintégration – ou d’intégration – dans le pays d’origine ne sont certes pas très favorables, mais elles ne le sont pas vraiment plus en Suisse, où le prévenu n’a pas su profiter des soutiens qui lui ont été accordés, par une curatelle, l’aide sociale et le placement dans des institutions, et où son absence totale de formation et son manque d’assiduité dans la recherche d’une activité ne laissent pas présager l’obtention prévisible d’un emploi. Contrairement à ce qu’il a déclaré au tribunal de police, le prévenu a eu des contacts avec son père, vivant en République dominicaine, au cours des dernières années. En mai 2019, il faisait en particulier état d’une conversation téléphonique suite à la naissance de son enfant, en février de la même année. Devant la Cour pénale, il a indiqué qu’il l’appelait de temps en temps depuis la prison, aussi pour avoir des contacts avec l’un de ses jeunes demi-frères. Une grand-mère, chez laquelle il vivait avant de venir en Suisse, vit aussi dans le pays d’origine ; elle est certes très âgée, mais lui serait sans doute d’un certain secours s’il rentrait au pays. Le prévenu parle couramment l’espagnol et a encore vécu plusieurs mois en République dominicaine en 2014-2015, de sorte qu’un renvoi ne l’exposerait pas à devoir vivre dans un pays dont il ignorerait tout. L’avenir du prévenu dans son pays d’origine ne s’annonce certes pas sous des auspices très favorables, mais on doit en dire autant d’un éventuel avenir en Suisse. Le retour en République dominicaine ne mettrait pas le prévenu dans une situation personnelle grave, si on la compare avec celle qui serait la sienne dans notre pays. L’absence, peut-être, de système comparable à la curatelle dans le pays d’origine ne constitue pas un empêchement à l’expulsion. Quoi qu’il en soit, les intérêts publics à l'expulsion, tout particulièrement en fonction du nombre, de la fréquence et de la nature des infractions commises par le prévenu, ainsi que des multiples récidives, notamment en cours de procédure, avec le risque assez élevé de récidive qu’il faut en déduire, l'emportent nettement sur l'intérêt privé de celui-ci à demeurer en Suisse. k) L’expulsion doit dès lors être prononcée, l’appel du ministère public étant admis à ce sujet. La durée de l’expulsion sera fixée à 5 ans.</w:t>
      </w:r>
    </w:p>
    <w:p>
      <w:r>
        <w:rPr>
          <w:b/>
        </w:rPr>
        <w:t>E. 11</w:t>
      </w:r>
    </w:p>
    <w:p>
      <w:r>
        <w:t>En fonction de ce qui est retenu ci-dessus, une assistance de probation assortie de conditions n’aurait pas de sens et il y sera donc renoncé.</w:t>
      </w:r>
    </w:p>
    <w:p>
      <w:r>
        <w:rPr>
          <w:b/>
        </w:rPr>
        <w:t>E. 12</w:t>
      </w:r>
    </w:p>
    <w:p>
      <w:r>
        <w:t>Il résulte de tout cela que l’appel du ministère public doit être partiellement admis. a) Les frais de la procédure d’appel, arrêtés à 1’500 francs, seront mis pour 1'200 francs à la charge du prévenu, le solde étant laissé à la charge de l’État. b) L’indemnité d’avocate d’office de Me P.________ pour la défense des intérêts du prévenu en procédure d’appel sera fixée à 1'343.30 francs, frais et TVA inclus, au vu du mémoire produit, qui est raisonnable. Cette indemnité sera remboursable à raison des 4/5, aux conditions prévues à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