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CPEN.2018.92 vom 7. März 2019</w:t>
      </w:r>
    </w:p>
    <w:p>
      <w:r>
        <w:t>NE Tribunal cantonal, 2019-03-07, FR</w:t>
      </w:r>
    </w:p>
    <w:p>
      <w:r>
        <w:rPr>
          <w:b/>
        </w:rPr>
        <w:t xml:space="preserve">Quelle: </w:t>
      </w:r>
      <w:r>
        <w:t>https://mcp.opencaselaw.ch/entscheid/ne_gerichte_CPEN.2018.92</w:t>
      </w:r>
    </w:p>
    <w:p>
      <w:r>
        <w:t>FR: NE_GERICHTE CPEN.2018.92 du 7 mars 2019</w:t>
      </w:r>
    </w:p>
    <w:p>
      <w:r>
        <w:t>IT: NE_GERICHTE CPEN.2018.92 del 7 marzo 2019</w:t>
      </w:r>
    </w:p>
    <w:p>
      <w:pPr>
        <w:pStyle w:val="Heading2"/>
      </w:pPr>
      <w:r>
        <w:t>Erwägungen</w:t>
      </w:r>
    </w:p>
    <w:p>
      <w:r>
        <w:rPr>
          <w:b/>
        </w:rPr>
        <w:t>E. 21</w:t>
      </w:r>
    </w:p>
    <w:p>
      <w:r>
        <w:t>vols et deux tentatives.</w:t>
      </w:r>
    </w:p>
    <w:p>
      <w:r>
        <w:t>11.Lappelant ne conteste pas lexpulsion prononcée en première instance. La Cour pénale juge cependant utile de constater que larticle 66a al. 1 CP, prévoyant une expulsion obligatoire, est applicable et que les conditions dun cas de rigueur au sens de larticle 66a al. 2 CP ne sont manifestement pas réalisées. Venu en Suisse en 2008, le prévenu na pas tardé à entrer en conflit avec la loi, ce qui a conduit à de multiples condamnations qui lont amené à passer plus de la moitié de son temps en prison, lautre partie étant consacrée à la commission dinfractions. Lappelant na aucun titre de séjour en Suisse et nen a apparemment jamais eu. Il ne peut justifier daucun intérêt à demeurer dans le pays.</w:t>
      </w:r>
    </w:p>
    <w:p>
      <w:r>
        <w:t>12.Ni lappelant, ni le ministère public ne contestent les dispositions prises par le tribunal criminel en relation avec les biens et valeurs saisis. Il ny a dès lors pas lieu de sy arrêter (art. 404 CPP).</w:t>
      </w:r>
    </w:p>
    <w:p>
      <w:r>
        <w:t>13.Le prévenu se trouvant en exécution anticipée de peine, il nest pas nécessaire de statuer sur son maintien en détention.</w:t>
      </w:r>
    </w:p>
    <w:p>
      <w:r>
        <w:t>14.a) Il résulte de ce qui précède que lappel de X.________ doit être rejeté et que lappel joint du ministère public doit être partiellement admis, au sens des considérants qui précèdent.</w:t>
      </w:r>
    </w:p>
    <w:p>
      <w:r>
        <w:t>b) Vu le sort de la cause en procédure dappel, il paraît équitable de mettre les frais de cette procédure, arrêtés à 2'000 francs, à la charge du prévenu pour les 3/4, le solde étant laissé à la charge de lEtat (art. 428 CPP). Il ny a pas lieu de revenir sur la mise à la charge du prévenu dune partie des frais de première instance, le fait que des infractions supplémentaires soient retenues en appel nayant quune influence négligeable à cet égard et le montant des frais imputés en première instance, qui ne seront sans doute jamais encaissés, étant de toute manière déjà élevé.</w:t>
      </w:r>
    </w:p>
    <w:p>
      <w:r>
        <w:t>c) Plaidant au bénéfice de lassistance judiciaire, lappelant na pas droit à une indemnité au sens de larticle 429 CPP (ATF 139 IV 241cons. 1 ;Moreillon/Parein-Reymond, Petit commentaire CPP, 2èmeéd., n. 12 ad art. 429).</w:t>
      </w:r>
    </w:p>
    <w:p>
      <w:r>
        <w:t>d) L'indemnité d'avocat d'office due au mandataire du prévenu pour la procédure dappel sera fixée à 3000 francs, frais et TVA inclus, soit un peu moins que ce qui était demandé (3'488.15 francs), par le fait que lactivité comptée pour la lecture du dossier en vue de la préparation de laudience et la préparation elle-même  soit 9 heures  comprend du temps nécessité par le fait que le mandataire, qui devait bien connaître le dossier, sest fait remplacer par sa stagiaire en fin de procédure dappel, que laudience dappel a duré moins longtemps que ce que le mandataire avait prévu et que le temps de conférence avec le client après laudience a été compté un peu trop largement (la Cour pénale estime pouvoir se passer de calculs au centime près, dans le cas particulier). Cette indemnité sera remboursable à raison des 4/5, aux conditions de larticle 135 al. 4 CPP.</w:t>
      </w:r>
    </w:p>
    <w:p>
      <w:r>
        <w:t>Par ces motifs,la Cour pénale DéCIDE</w:t>
      </w:r>
    </w:p>
    <w:p>
      <w:r>
        <w:t>vu les articles 47, 49, 139 al. 1 et 2, 144, 186 CP, 115 al. 1 let. b LEtr, 135, 428 CPP,</w:t>
      </w:r>
    </w:p>
    <w:p>
      <w:r>
        <w:t>I.Lappel de X.________ est rejeté.</w:t>
      </w:r>
    </w:p>
    <w:p>
      <w:r>
        <w:t>II.L'appel joint du ministère public est partiellement admis.</w:t>
      </w:r>
    </w:p>
    <w:p>
      <w:r>
        <w:t>III.Le jugement rendu le 6 juin 2018 par le Tribunal criminel du Littoral et du Val-de-Travers est partiellement réformé, les ch. 1 à 3 du dispositif étant désormais les suivants :</w:t>
      </w:r>
    </w:p>
    <w:p>
      <w:r>
        <w:t>1.Acquitte X.________ des préventions A.15, A.37 et A.38 de lacte daccusation.</w:t>
      </w:r>
    </w:p>
    <w:p>
      <w:r>
        <w:t>2.Reconnaît X.________ coupable de vols par métier (art. 139 al. 1 et 2 CP), dommages à la propriété (art. 144 al. 1 CP), tentatives de violation de domicile (art. 186 et 22 CP), violations de domicile (art. 186 CP) et séjour illégal (art. 115 al. 1 let. b LEtr) pour les autres infractions visées par lacte daccusation qui le concernent, sous lettres A et B dudit acte.</w:t>
      </w:r>
    </w:p>
    <w:p>
      <w:r>
        <w:t>3.Condamne X.________ à une peine privative de liberté de 5 ans et 6 mois, dont à déduire 266 jours de détention subie avant jugement (hors exécution anticipée de peine depuis le 8 février 2018).</w:t>
      </w:r>
    </w:p>
    <w:p>
      <w:r>
        <w:t>IV.Le dispositif du jugement du 6 juin 2018 est confirmé pour le surplus, en ce qui concerne lappelant, en ses ch. 4 à 6 et 14 à 17.</w:t>
      </w:r>
    </w:p>
    <w:p>
      <w:r>
        <w:t>V.Les frais de la procédure d'appel, arrêtés à 2000 francs, sont mis pour les 4/5, soit 1'600 francs, à la charge de X.________, le solde étant laissé à la charge de lEtat.</w:t>
      </w:r>
    </w:p>
    <w:p>
      <w:r>
        <w:t>VI.L'indemnité d'avocat d'office due à Me E.________ pour la procédure d'appel est fixée à 3000 francs, frais et TVA compris. Elle sera remboursable à raison des 4/5, aux conditions de l'article 135 al. 4 CPP.</w:t>
      </w:r>
    </w:p>
    <w:p>
      <w:r>
        <w:t>VII.Le présent jugement est notifié à X.________, par Me E.________, au ministère public, parquet régional de Neuchâtel (MP.2017.2251-PNE-1), aux plaignants (selon liste annexée) et au Tribunal criminel du Littoral et du Val-de-Travers, à Boudry (CRIM.2018.3). Copie en est adressée pour information à lOffice dexécution des sanctions et de probation, à La Chaux-de-Fonds.</w:t>
      </w:r>
    </w:p>
    <w:p>
      <w:r>
        <w:t>Neuchâtel, le 7 mars 2019</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