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CPEN.2018.68 vom 24. Mai 2017</w:t>
      </w:r>
    </w:p>
    <w:p>
      <w:r>
        <w:t>NE Tribunal cantonal, 2017-05-24, FR</w:t>
      </w:r>
    </w:p>
    <w:p>
      <w:r>
        <w:rPr>
          <w:b/>
        </w:rPr>
        <w:t xml:space="preserve">Quelle: </w:t>
      </w:r>
      <w:r>
        <w:t>https://mcp.opencaselaw.ch/entscheid/ne_gerichte_CPEN.2018.68_d20170524</w:t>
      </w:r>
    </w:p>
    <w:p>
      <w:r>
        <w:t>FR: NE_GERICHTE CPEN.2018.68 du 24 mai 2017</w:t>
      </w:r>
    </w:p>
    <w:p>
      <w:r>
        <w:t>IT: NE_GERICHTE CPEN.2018.68 del 24 maggio 2017</w:t>
      </w:r>
    </w:p>
    <w:p>
      <w:pPr>
        <w:pStyle w:val="Heading2"/>
      </w:pPr>
      <w:r>
        <w:t>Regeste</w:t>
      </w:r>
    </w:p>
    <w:p>
      <w:r>
        <w:t>Infractions à la LStup. Fixation de la peine. Travail d’intérêt général. Peine pécuniaire. Peine additionnelle.</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de X.________ est recevable.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a) L’appelant fait valoir qu’aucune analyse n’a été réalisée sur sa culture de cannabis, qu’il souhaitait parvenir à cultiver une plante « légale » et qu’il a détruit les plants arrivés à maturité dans la mesure où il n’y était pas parvenu. En outre il n’a tiré aucun profit des ventes réalisées. Il convient donc de s’interroger sur sa culpabilité pour infraction à la LStup. b) Selon l’article 19 al. 1 LStup ,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et celui qui, sans droit, possède, détient ou acquiert des stupéfiants ou s'en procure de toute autre manière (let. d). c) Il résulte de la LStup (art. 2 al. 1 et 8 al. 1 let. d) et de l’ordonnance du DFI sur les tableaux des stupéfiants, des substances psychotropes, des précurseurs et des adjuvants chimiques (Ordonnance sur les tableaux des stupéfiants [OTStup-DFI]) que le cannabis (ou chanvre) est un stupéfiant dont la consommation est pénalement réprimée. Cette ordonnance qualifie de stupéfiants le cannabis, soit la plante de chanvre ou parties de plante de chanvre présentant une teneur totale moyenne en THC de 1,0 % au moins et tous les objets et préparations présentant une teneur totale en THC de 1,0 % au moins ou fabriqués à partir de chanvre présentant une teneur totale en THC de 1,0 % au moins (art. 1 al. 2 let. a OTStup-DFI et le tableau a à d de son annexe 1). d) Ni la LStup dans sa version en vigueur depuis le 1er juillet 2011, ni l'OTStup-DFI n'imposent de méthode pour déterminer si le THC atteint une teneur de 1,0% (arrêt du TF du 22.05.2015 [6B_352/2014] cons. 3.1.2) . La seule indication, dans l'OTStup-DFI, d'un taux plancher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A titre d'exemple, la jurisprudence mentionne les éléments ou indices suivants: l'auteur admet lui-même que le chanvre qu'il cultive ou vend peut être consommé comme stupéfiant,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etc. (arrêt du TF du 27.06.2001 [6S.363/2001] cons. 1b). e) En l'espèce, l’appelant a soutenu qu’à ses débuts, il « voulait faire une autre variété et éventuellement voir pour rabaisser le taux de THC à la limite légale ». Par la suite, il faut constater, comme l'autorité précédente l’a retenu, que les produits cultivés et vendus l’ont été comme stupéfiants comme indiqué par l’appelant et par des tiers. Le prévenu a admis qu’il avait aménagé un « local » dans une grange qu’il louait à son grand-père. Il avait installé quatre lampes et possédait une quinzaine de plantes mères. Il faisait une récolte toutes les trois semaines. La quantité de boutures vendues à D.________ (1'400) , la quantité de plants que l’on peut qualifier d’« importante », l’installation destinée à la culture de chanvre et le fait que le prévenu n’était lui-même pas consommateur justifient le soupçon d’un commerce. Il résulte de la LStup que le cannabis (ou chanvre) est un stupéfiant dont la culture et la vente sont pénalement réprimées. Dans la mesure où il est suffisamment établi que l’appelant a vendu des boutures, destinées à une production de stupéfiants, à des tiers et que celui-ci a admis lui-même que le taux de THC était supérieur à la limite légale (cf. cons. A.c supra ), i l ne fait aucun doute que l'activité du prévenu tombait sous le coup de l'article 19 al. 1 LStup dans sa teneur en vigueur après le 1er juillet 2011, ce même en l'absence d'analyse du taux en THC des plants saisis.</w:t>
      </w:r>
    </w:p>
    <w:p>
      <w:r>
        <w:rPr>
          <w:b/>
        </w:rPr>
        <w:t>E. 4</w:t>
      </w:r>
    </w:p>
    <w:p>
      <w:r>
        <w:t>a) L’appelant juge excessive la peine pécuniaire à laquelle il a été condamné en première instance, en fonction des infractions retenues à son encontre. b)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d) La Cour pénale retient que la culpabilité de l’appelant est assez lourde, dans le cadre de la gravité tout de même relative des faits – au regard des faits reprochés aux autres prévenus qui font l’objet d’une procédure séparée (suite à une décision de disjonction) – qui doivent être retenus contre lui. La Cour pénale peut se référer à cet égard aux éléments retenus par le tribunal de police (qu’il n’est pas nécessaire de paraphraser : art. 82 al. 4 CPP). Elle retient au surplus que le prévenu a agi durant de nombreux mois, démontrant ainsi sa constance dans le comportement délictueux. Il n’a pas manifesté de repentir. L’appelant a agi alors que sa situation financière était très confortable et celle de sa compagne aussi aisée. Il a donc fait preuve d’une cupidité particulière. A décharge, on retiendra que le prévenu n’a pas occupé la justice pénale ces dernières années et que son casier judiciaire est vierge. Il a mis fin spontanément à ses agissements puisque ceux-ci avaient déjà cessé lorsque la police a procédé à la perquisition du local dans lequel il se livrait à la culture de marijuana. Dès lors, la Cour pénale considère que la peine prononcée en première instance est adéquate en ce qui concerne le quantum de la peine. Le calcul du montant retenu pour le jour-amende sera examiné ci-après (cons. 6).</w:t>
      </w:r>
    </w:p>
    <w:p>
      <w:r>
        <w:rPr>
          <w:b/>
        </w:rPr>
        <w:t>E. 5</w:t>
      </w:r>
    </w:p>
    <w:p>
      <w:r>
        <w:t>a) L’appelant reproche au premier juge de lui avoir infligé une peine pécuniaire alors qu’il avait manifesté son accord à un travail d’intérêt général. b) Le travail d’intérêt général ne fait plus partie du régime des sanctions depuis le 1 er janvier 2018. Dans le cas d’espèce, les articles 34 et 37 CP dans leur teneur antérieure au 1 er janvier 2018 sont applicables, car le nouveau droit n'est pas plus favorable. A titre de sanctions, l'ancien droit faisait de la peine pécuniaire (art. 34 CP ) et du travail d'intérêt général (art. 37 CP ) la règle dans le domaine de la petite criminalité, respectivement de la peine pécuniaire et de la peine privative de liberté la règle pour la criminalité moyenne. Le travail d'intérêt général supposait l'accord de l'auteur. En vertu du principe de la proportionnalité, il y avait en règle générale lieu, lorsque plusieurs peines entraient en considération et apparaissaient sanctionner de manière équivalente la faute, de choisir celle qui restreignait le moins sévèrement la liberté personnelle de l'intéressé, respectivement qui le touchait le moins durement. La peine pécuniaire et le travail d'intérêt général représentaient des atteintes moins importantes et constituaient ainsi des peines plus clémentes. Pour choisir la nature de la peine, le juge devait prendre en considération l'opportunité de la sanction déterminée, ses effets sur l'auteur et son milieu social, ainsi que son efficacité préventive. La peine pécuniaire et le travail d'intérêt général pouvaient être exclus pour des motifs de prévention spéciale lorsque ces sanctions étaient inexécutables, en particulier lorsque l'intéressé avait démontré l'inutilité d'une telle peine et/ou la volonté de ne pas tenir compte des sanctions prononcées contre lui (arrêt du TF du 24.01.2013 [6B_196/2012] cons. 3. 3). c) La doctrine considère que le condamné n’a pas la possibilité de choisir la sanction qui lui sera infligée, ni même de formuler une requête dans ce sens. Il n’y a donc pas un droit au travail d’intérêt général ( Dupuis/Moreillon , PC CP, n. 9 ad art. 37 ; Viredaz , CR CP, n. 8 ad art. 37 ; Ribordy , Le travail d’intérêt général : une peine en sursis, 2014, p. 66). Si le prévenu peut, par son refus, empêcher un tribunal de prononcer une peine de travail d’intérêt général à son encontre, il ne peut pas, par contre, l’empêcher de prononcer une peine pécuniaire ( Brägger , BSK StGB, n. 9 ad art. 37). d) En l’espèce, il faut constater que la durée du travail d’intérêt général s’élèverait à 360 heures (90 jours-amende x 4 heures), compte tenu de la clé de conversion (art. 39 al. 2 aCP). Concrètement, pour un salarié à plein temps, dont on ne saurait exiger d’exécuter un nombre d’heures de travail hebdomadaire trop important, il n’est pas certain que le prévenu, directeur et administrateur de deux sociétés dans le canton de Genève actives dans la construction, disposerait du temps nécessaire pour effectuer sa peine dans les délais impartis (deux ans au maximum, art. 38 aCP). En d’autres termes, la mise en œuvre d’un travail d’intérêt général d’une telle ampleur, en cas de révocation du sursis, s’effectuerait sur une période relativement longue et ne serait guère compatible avec la situation personnelle du prévenu et l’exercice de son activité lucrative, en particulier. Compte tenu du fait que le prévenu n’est pas dépourvu de moyens financiers et qu’une peine pécuniaire se justifie à cet égard, la Cour pénale considère qu’une peine pécuniaire constitue la sanction la plus adéquate dans le cas d’espèce.</w:t>
      </w:r>
    </w:p>
    <w:p>
      <w:r>
        <w:rPr>
          <w:b/>
        </w:rPr>
        <w:t>E. 6</w:t>
      </w:r>
    </w:p>
    <w:p>
      <w:r>
        <w:t>a) L’appelant conteste le montant du jour-amende retenu à hauteur de 1'800 francs par le premier juge et demande que celui-ci soit réduit à 300 francs. b) A ux termes de l' article 34 al. 2 CP , dans sa teneur au moment des faits,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1er janvier 2018, qui n'est pas plus favorable à l'intéressé (cf. art. 2 al. 2 CP ). c) Selon la jurisprudence (arrêts du TF du 27.07.2018 [6B_133/2018] cons. 3.1 et du 09.02.2018 [6B_530/2017] cons. 2.2 ; ATF 142 IV 315 cons. 5.3 p. 320 ss ), le montant du jour-amende doit être fixé en partant du revenu que l'auteur réalise en moyenne quotidiennement, quelle qu'en soit la source, car c'est la capacité économique réelle de fournir une prestation qui est déterminante. La situation à prendre en compte est celle existant au moment où le juge du fait statue.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d) Le juge dispose d'un large pouvoir d'appréciation, lui permettant de procéder à une estimation du montant du jour-amende en fonction des informations dont il dispose (arrêts du TF du 27.07.2018 [6B_133/2018] cons. 3.1 et du 16.11.2012 [6B_568/2012] cons. 2.1). Lorsque l'intéressé ne fournit pas d'informations ou fournit des explications non crédibles s'agissant de ses revenus et que celles fournies par les autorités (art. 34 al. 3 aCP) ne sont pas concluantes, il convient d'imputer à l'auteur un revenu hypothétique estimé à partir de son train de vie ( ATF 134 IV 60 cons.</w:t>
      </w:r>
    </w:p>
    <w:p>
      <w:r>
        <w:rPr>
          <w:b/>
        </w:rPr>
        <w:t>E. 6.1</w:t>
      </w:r>
    </w:p>
    <w:p>
      <w:r>
        <w:t>p. 69 et les références citées). e) En l’espèce, le prévenu a signé, le 12 juin 2017, une déclaration patrimoniale et d’état civil dans laquelle il indiquait réaliser des revenus mensuels de 23'000 francs. Les extraits de compte figurant au dossier ne permettent pas d’établir avec certitude les revenus de l’appelant (seuls trois crédits en cinq mois, de trois créditeurs différents, pour un montant total avoisinant les 160'000 francs). En audience devant le premier juge, le 1 er juin 2018, l’appelant déclarait percevoir un revenu annuel d’environ 500'000 francs et payer des impôts d’environ 200'000 francs. Il n’a déposé aucune pièce propre à démontrer sa situation financière. Selon le simulateur fiscal disponible sur le site de la Confédération (http://www.estv2.admin.ch) et celui du canton de Genève (https://www.ge.ch/paiement-impots), lorsque les revenus s’élèvent à 500'000 francs, la charge fiscale s’élève approximativement à 180'000 francs, ce qui correspond aux déclarations du prévenu en audience. On peut retenir sur cette base que l’appelant réalise un revenu de 41'500 francs par mois – sa concubine travaille et réalise un salaire lui permettant de subvenir dans une certaine mesure à ses besoins et à ceux des enfants – dont il faut déduire la moitié du minimum vital de couple (850 francs), la moitié du minimum vital des deux enfants qui vivent avec lui (500 francs) et 1'500 francs de primes d’assurance maladie de base et complémentaire pour ses enfants et lui. Il faut encore soustraire des revenus réalisés les impôts courants dus, soit 15'000 francs par mois (180'000 francs / 12 mois), la pension de 500 francs en faveur de la fille du prévenu ainsi que les différentes dépenses en sus de ladite pension (estimés à 500 francs) et les frais de déplacements (500 francs), que le premier juge avait retenus à bien plaire dans la mesure où aucune de ces charges n’était étayée. Le total des charges d’élève à 19'350 francs. Le solde mensuel déterminant pour arrêter le jour-amende s’élève à 22'150 francs (41'500 francs - 19'350 francs), conduisant à un montant du jour-amende de 738 francs (22'150 francs / 30 jours). Dès lors, la quotité du jour-amende, fixée en première instance à 1'800 francs, est excessive et doit être réduite.</w:t>
      </w:r>
    </w:p>
    <w:p>
      <w:r>
        <w:rPr>
          <w:b/>
        </w:rPr>
        <w:t>E. 7</w:t>
      </w:r>
    </w:p>
    <w:p>
      <w:r>
        <w:t>a) L’appelant critique le prononcé d'une amende de 6'000 francs, en plus de la peine pécuniaire ordonnée. Il estime qu'il n'existe aucun motif de prévention spéciale justifiant ce cumul. b) En cas d’octroi du sursis, l’article 42 al. 4 CP permet au juge de prononcer, en plus du sursis, une amende selon l’article 106 CP (jusqu’au 31 décembre 2017, le juge pouvait aussi prononcer une peine pécuniaire sans sursis, mais cette faculté a disparu lors de la révision du droit des sanctions). La ratio legis de cette disposition est, en cas de condamnation principale à une peine privative de liberté avec sursis, de prononcer une sanction immédiate au titre d’amende. La disposition octroie un très large pouvoir d’appréciation au juge ( ATF 134 IV 1 ). Selon le Conseil fédéral et la doctrine, il importe de ne pas aboutir à une double punition, mais au contraire de fixer les deux sanctions de manière à ce qu’elles correspondent, ensemble, à une quotité de peine appropriée à la faute ( Dupuis/Moreillon et al , PC CP, 2 e édition, no 30 ad art. 42 [1.1 2018] et les références citées). c) Selon le Tribunal fédéral, l a combinaison prévue par l' article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(arrêt du TF du 08.11.2018 [6B_835/2018] cons. 3.2 ; ATF 134 IV 60 cons. 7.3.1). La combinaison prévue à l' article 42 al. 4 CP constitue un « sursis qualitativement partiel » ( ATF 134 IV 1 cons. 4.5.2). d) En l’espèce, le prévenu, qui a agi dans le but de réaliser des gains –même s’ils ne se sont pas concrétisés – ne semble pas avoir pris conscience de ses fautes au vu des arguments qu’il avance en appel (notamment qu’il ne serait pas condamnable car il avait uniquement cherché à produire du chanvre légal). A ce titre, il se justifie d’infliger une sanction immédiate au prévenu qui l’atteigne directement dans son patrimoine, dès lors que la peine de jours-amende est assortie du sursis, afin d’attirer son attention sur le sérieux de la situation et qu’il prenne pleinement conscience de l’inadéquation de son comportement. A cet égard, le montant de 6’000 francs est adéquat et demeure dans le cadre admis par la jurisprudence, qui prévoit que la peine additionnelle ne doit, dans la règle, pas dépasser un cinquième de la sanction principale (arrêt du TF du 12.12.2017 [6B_119/2017] cons. 5.2).</w:t>
      </w:r>
    </w:p>
    <w:p>
      <w:r>
        <w:rPr>
          <w:b/>
        </w:rPr>
        <w:t>E. 8</w:t>
      </w:r>
    </w:p>
    <w:p>
      <w:r>
        <w:t>a) L’appelant soutient que le ministère public a indiqué à tort dans l’ordonnance pénale, dans les dispositions légales appliquées, « art. 19 ch. 2/22 (complicité de trafic de stupéfiants, cas grave) ». Le tribunal de police a requalifié les faits en infractions à l' article 19 al. 1 let. a, b, c et d LStup . Le prévenu fait valoir qu'en l'absence d'opposition formée à l’ordonnance pénale, la requalification précitée ne serait pas intervenue et qu'il a finalement été condamné à une peine pécuniaire de 90 jours-amende en lieu et place d'une peine pécuniaire de 180 jours-amende initialement infligée par le ministère public (par ordonnance pénale frappée d'opposition). Il y voit un abandon partiel des chefs d'accusation et considère, compte tenu de surcroît de la réduction de peine sollicitée, qu'il a droit à une indemnité fondée sur l' article 429 CPP . b) La question de l'indemnisation du prévenu doit être traitée en relation avec celle des frais ( art. 426 CPP ). Si le prévenu supporte les frais en application de l' article 426 al. 1 ou 2 CPP , une indemnité est en règle générale exclue ( ATF 137 IV 352 cons. 2.4.2 p. 357 ; arrêt du 07.03.2017 [6B_80/2016] cons. 2.1). Si le prévenu est libéré d'un chef d'accusation et condamné pour un autre, il sera condamné aux frais relatifs à sa condamnation et aura respectivement droit à une indemnité correspondant à son acquittement partiel ( Moreillon/Parein-Reymond , PC CPP, n. 10 ad art. 429 et les réf. cit.). La question essentielle est celle de savoir si l'autorité impute ou non les faits au prévenu ( Mizel/Rétornaz , Commentaire romand, Code de procédure pénale suisse, 2011, n° 2 ad art. 429 ). Elle s'examine au regard de l'acte d'accusation et de ses éventuelles modifications, dans l'optique de déterminer si le prévenu a été formellement mis en accusation et quelles charges sont retenues à son encontre, le silence concernant certaines charges constituant un acquittement implicite ouvrant la voie de l'indemnisation (ibid.).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TF du 07.03.2017 [6B_80/2016] cons. 2.1 et les réf. cit). c) La requalification évoquée par l’appelant ne saurait toutefois être assimilée à un abandon partiel des chefs d'accusation. Il a bel et bien été condamné pour l'ensemble des faits qui ont donné lieu à son renvoi devant l'autorité de jugement, sans que l'on puisse considérer un abandon des charges, même partiel, en sa faveur. Même si l’article 19 al. 1 LStup avait été visé d’emblée, les actes d’enquête effectués auraient tous été entrepris.</w:t>
      </w:r>
    </w:p>
    <w:p>
      <w:r>
        <w:rPr>
          <w:b/>
        </w:rPr>
        <w:t>E. 9</w:t>
      </w:r>
    </w:p>
    <w:p>
      <w:r>
        <w:t>a) Vu ce qui précède, la Cour pénale admet partiellement l’appel du prévenu et fixe le jour-amende à 738 francs . L’appelant succombe donc sur ses conclusions principales . b) Les frais de procédure de première instance doivent être supportés par l’appelant dans la mesure où l’ensemble des faits qui lui sont reprochés ont été retenus contre lui et que seul le montant du jour-amende est réduit. c) Les frais de procédure de deuxième instance seront mis à sa charge à raison des 5/6 èmes , le solde étant laissé à la charge de l’Etat (art. 428 al. 1 CPP). d) L’appelant a droit à une indemnité réduite pour ses frais de défense, en application de l’article 429 al. 1 let. a CPP. L’activité alléguée par le mandataire s’élève à 600 minutes pour la procédure d’appel. S’agissant d’un dossier d’ampleur moyenne qui ne présente pas de difficultés particulières, cette activité paraît excessive. Vu la connaissance du dossier de première instance du mandataire, le nombre et l’ampleur des écritures (déclaration d’appel d’une page et appel motivé de 8 pages), on admettra une activité globale de 6h consacrée à la procédure de deuxième instance. Au tarif horaire de 270 francs, cela conduit à un montant de 1'975.25 francs (frais du bureau, selon mémoire, par 214.05 francs et TVA de 7.7%, par 141.20 francs, compris). L’indemnité allouée se monte à 1/6 ème du mémoire d’honoraires de Me E.________, pour la procédure d’appel, soit 330 francs (frais, débours et TVA compris). Celle-ci peut être compensée à due concurrence avec les frais de justice de première et seconde instances mis à la charge du prévenu selon l’article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