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CPEN.2018.45 vom 9. April 2019</w:t>
      </w:r>
    </w:p>
    <w:p>
      <w:r>
        <w:t>NE Tribunal cantonal, 2019-04-09, FR</w:t>
      </w:r>
    </w:p>
    <w:p>
      <w:r>
        <w:rPr>
          <w:b/>
        </w:rPr>
        <w:t xml:space="preserve">Quelle: </w:t>
      </w:r>
      <w:r>
        <w:t>https://mcp.opencaselaw.ch/entscheid/ne_gerichte_CPEN.2018.45</w:t>
      </w:r>
    </w:p>
    <w:p>
      <w:r>
        <w:t>FR: NE_GERICHTE CPEN.2018.45 du 9 avril 2019</w:t>
      </w:r>
    </w:p>
    <w:p>
      <w:r>
        <w:t>IT: NE_GERICHTE CPEN.2018.45 del 9 aprile 2019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Vu le sort de la cause, les frais de justice resteront à la charge de l’Etat. Il n’y a pas lieu à octroi d’une indemnité en faveur de l’intimé, qui a procédé seul et n’en a pas demandée.</w:t>
      </w:r>
    </w:p>
    <w:p>
      <w:r>
        <w:rPr>
          <w:b/>
        </w:rPr>
        <w:t>E. 20</w:t>
      </w:r>
    </w:p>
    <w:p>
      <w:r>
        <w:t>mars 2009 sur le transport de voyageurs2et art. 3, al. 1, de la LF du 20 mars 2009 sur les entreprises de transport par route3);</w:t>
      </w:r>
    </w:p>
    <w:p>
      <w:r>
        <w:t>b. aux personnes qui transportent des personnes à titre professionnel, des marchandises au moyen de véhicules automobiles lourds ou des marchandises dangereuses;</w:t>
      </w:r>
    </w:p>
    <w:p>
      <w:r>
        <w:t>c. aux moniteurs de conduite;</w:t>
      </w:r>
    </w:p>
    <w:p>
      <w:r>
        <w:t>d. aux titulaires d'un permis d'élève conducteur;</w:t>
      </w:r>
    </w:p>
    <w:p>
      <w:r>
        <w:t>e. aux personnes qui accompagnent un élève conducteur lors de courses d'apprentissage;</w:t>
      </w:r>
    </w:p>
    <w:p>
      <w:r>
        <w:t>f. aux titulaires d'un permis de conduire à l'essai.4</w:t>
      </w:r>
    </w:p>
    <w:p>
      <w:r>
        <w:t>2terLe Conseil fédéral détermine le taux d'alcool dans l'haleine et dans le sang à partir desquels la conduite sous l'influence de l'alcool est avérée.5</w:t>
      </w:r>
    </w:p>
    <w:p>
      <w:r>
        <w:t>3Le conducteur doit veiller à n'être gêné ni par le chargement ni d'une autre manière.6Les passagers sont tenus de ne pas le gêner ni le déranger.</w:t>
      </w:r>
    </w:p>
    <w:p>
      <w:r>
        <w:t>1Nouvelle teneur selon le ch. I de la LF du 14 déc. 2001, en vigueur depuis le 1erjanv. 2005 (RO20022767,20042849;FF19994106).2RS745.13RS744.104Introduit par le ch. I de la LF du 15 juin 2012, en vigueur depuis le 1erjanv. 2014 (RO20126291,20134669;FF20107703).5Introduit par le ch. I de la LF du 15 juin 2012, en vigueur depuis le 1erjanv. 2014 (RO20126291,20134669;FF20107703).6Nouvelle teneur selon le ch. I de la LF du 6 oct. 1989, en vigueur depuis le 1erfév. 1991 (RO199171; FF1986III 197).</w:t>
      </w:r>
    </w:p>
    <w:p>
      <w:r>
        <w:t>1Est puni de l'amende quiconque:</w:t>
      </w:r>
    </w:p>
    <w:p>
      <w:r>
        <w:t>a. conduit un véhicule automobile en état d'ébriété;</w:t>
      </w:r>
    </w:p>
    <w:p>
      <w:r>
        <w:t>b. ne respecte pas l'interdiction de conduire sous l'influence de l'alcool;</w:t>
      </w:r>
    </w:p>
    <w:p>
      <w:r>
        <w:t>c. conduit un véhicule sans moteur alors qu'il se trouve dans l'incapacité de conduire.</w:t>
      </w:r>
    </w:p>
    <w:p>
      <w:r>
        <w:t>2Est puni d'une peine privative de liberté de trois ans au plus ou d'une peine pécuniaire quiconque:</w:t>
      </w:r>
    </w:p>
    <w:p>
      <w:r>
        <w:t>a. conduit un véhicule automobile en état d'ébriété et présente un taux d'alcool qualifié dans le sang ou dans l'haleine2;</w:t>
      </w:r>
    </w:p>
    <w:p>
      <w:r>
        <w:t>b. conduit un véhicule automobile alors qu'il se trouve dans l'incapacité de conduire pour d'autres raisons.</w:t>
      </w:r>
    </w:p>
    <w:p>
      <w:r>
        <w:t>1Nouvelle teneur selon le ch. I de la LF du 15 juin 2012, en vigueur depuis le 1erjanv. 2014 (RO20126291,20134669;FF20107703).2La disp. sur le taux d'alcool dans l'haleine est applicable dès l'entrée en vigueur de l'art. 55, al. 3, 3bis, 6 et 6bisselon le ch. I de la LF du 15 juin 2012 ainsi que de l'O du 15 juin 2012 de l'Ass. féd. concernant les taux limites d'alcool admis en matière de circulation routière.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