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CPEN.2018.15 vom 5. Juni 2018</w:t>
      </w:r>
    </w:p>
    <w:p>
      <w:r>
        <w:t>NE Tribunal cantonal, 2018-06-05, FR</w:t>
      </w:r>
    </w:p>
    <w:p>
      <w:r>
        <w:rPr>
          <w:b/>
        </w:rPr>
        <w:t xml:space="preserve">Quelle: </w:t>
      </w:r>
      <w:r>
        <w:t>https://mcp.opencaselaw.ch/entscheid/ne_gerichte_CPEN.2018.15</w:t>
      </w:r>
    </w:p>
    <w:p>
      <w:r>
        <w:t>FR: NE_GERICHTE CPEN.2018.15 du 5 juin 2018</w:t>
      </w:r>
    </w:p>
    <w:p>
      <w:r>
        <w:t>IT: NE_GERICHTE CPEN.2018.15 del 5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Celui qui, dans le dessein de porter atteinte aux intérêts pécuniaires ou aux droits d'autrui, ou de se procurer ou de procurer à un tiers un avantage illicite,</w:t>
      </w:r>
    </w:p>
    <w:p>
      <w:r>
        <w:t>aura créé un titre faux, falsifié un titre, abusé de la signature ou de la marque à la main réelles d'autrui pour fabriquer un titre supposé, ou constaté ou fait constater faussement, dans un titre, un fait ayant une portée juridique,</w:t>
      </w:r>
    </w:p>
    <w:p>
      <w:r>
        <w:t>ou aura, pour tromper autrui, fait usage d'un tel titre,</w:t>
      </w:r>
    </w:p>
    <w:p>
      <w:r>
        <w:t>sera puni d'une peine privative de liberté de cinq ans au plus ou d'une peine pécuniaire.</w:t>
      </w:r>
    </w:p>
    <w:p>
      <w:r>
        <w:rPr>
          <w:b/>
        </w:rPr>
        <w:t>E. 2</w:t>
      </w:r>
    </w:p>
    <w:p>
      <w:r>
        <w:t>Dans les cas de très peu de gravité, le juge pourra prononcer une peine privative de liberté de trois ans au plus ou une peine pécuniaire.</w:t>
      </w:r>
    </w:p>
    <w:p>
      <w:r>
        <w:t>1Nouvelle teneur selon le ch. I de la LF du 17 juin 1994, en vigueur depuis le 1erjanv. 1995 (RO19942290; FF1991II 933).</w:t>
      </w:r>
    </w:p>
    <w:p>
      <w:r>
        <w:rPr>
          <w:b/>
        </w:rPr>
        <w:t>E. 6</w:t>
      </w:r>
    </w:p>
    <w:p>
      <w:r>
        <w:t>L’appelant n’adresse pas de critique spécifique à la peine prononcée, qu’il s’agisse de sa quotité, 15 jours-amende, ou du montant du jour-amende, soit 60 francs. Cette peine est d’ailleurs modeste et assez proche du minimum légal, en fonction de l’ensemble des circonstances. Pour le calcul du montant du jour-amende, le tribunal de police a tenu compte, comme charge, de la somme de 900 francs pour un « crédit privé » , alors que l’amortissement de dettes ne doit pas être pris en considération ( Dupuis et al. , Petit commentaire CP, n. 19 ad art. 34). Le jour-amende aurait donc peut-être dû être fixé à un montant plus élevé que les 60 francs retenus, mais la Cour pénale n’a pas à revoir le jugement entrepris à cet égard, en l’absence d’appel du ministère public et vu l’interdiction de la reformatio in peius (art. 391 al. 2 CPP).</w:t>
      </w:r>
    </w:p>
    <w:p>
      <w:r>
        <w:rPr>
          <w:b/>
        </w:rPr>
        <w:t>E. 7</w:t>
      </w:r>
    </w:p>
    <w:p>
      <w:r>
        <w:t>Vu ce qui précède, la répartition des frais et indemnités opérée en première instance ne prête pas le flanc à la critique. A ce sujet, la Cour pénale peut sans autre se référer au jugement entrepris (art. 82 al. 4 CPP).</w:t>
      </w:r>
    </w:p>
    <w:p>
      <w:r>
        <w:rPr>
          <w:b/>
        </w:rPr>
        <w:t>E. 8</w:t>
      </w:r>
    </w:p>
    <w:p>
      <w:r>
        <w:t>En conséquence, l'appel est mal fondé et doit être rejeté. Les frais de la procédure d’appel seront mis à la charge de l'appelant, sans qu’il y ait lieu d’envisager de lui octroyer une indemnité pour cette procédure, les conditions d’application de l’article 429 CPP n’étant pas réalisées. L’appelant devra en outre verser à la plaignante, pour la procédure d’appel, une indemnité au sens de l’article 433 CPP, qui peut être arrêtée à 1'365.55 francs, frais et TVA inclus, au vu du mémoire raisonnable qui a été produit par la plaignante et 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