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CPEN.2017.54 vom 5. September 2017</w:t>
      </w:r>
    </w:p>
    <w:p>
      <w:r>
        <w:t>NE Tribunal cantonal, 2017-09-05, FR</w:t>
      </w:r>
    </w:p>
    <w:p>
      <w:r>
        <w:rPr>
          <w:b/>
        </w:rPr>
        <w:t xml:space="preserve">Quelle: </w:t>
      </w:r>
      <w:r>
        <w:t>https://mcp.opencaselaw.ch/entscheid/ne_gerichte_CPEN.2017.54</w:t>
      </w:r>
    </w:p>
    <w:p>
      <w:r>
        <w:t>FR: NE_GERICHTE CPEN.2017.54 du 5 septembre 2017</w:t>
      </w:r>
    </w:p>
    <w:p>
      <w:r>
        <w:t>IT: NE_GERICHTE CPEN.2017.54 del 5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, Y</w:t>
      </w:r>
    </w:p>
    <w:p>
      <w:r>
        <w:rPr>
          <w:b/>
        </w:rPr>
        <w:t>E. 2</w:t>
      </w:r>
    </w:p>
    <w:p>
      <w:r>
        <w:t>et Y</w:t>
      </w:r>
    </w:p>
    <w:p>
      <w:r>
        <w:rPr>
          <w:b/>
        </w:rPr>
        <w:t>E. 3</w:t>
      </w:r>
    </w:p>
    <w:p>
      <w:r>
        <w:t>Il résulte de ce qui précède qu'il ne doit pas être entré en matière sur la demande de révision. Les frais de la procédure seront mis à la charge de la demanderesse, qui succombe (art. 428 al. 1 CPP, qui s’applique aussi en procédure de révision : la révision fait partie des voies de recours, selon le Titre 9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