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CPEN.2017.36 vom 7. Dezember 2017</w:t>
      </w:r>
    </w:p>
    <w:p>
      <w:r>
        <w:t>NE Tribunal cantonal, 2017-12-07, FR</w:t>
      </w:r>
    </w:p>
    <w:p>
      <w:r>
        <w:rPr>
          <w:b/>
        </w:rPr>
        <w:t xml:space="preserve">Quelle: </w:t>
      </w:r>
      <w:r>
        <w:t>https://mcp.opencaselaw.ch/entscheid/ne_gerichte_CPEN.2017.36</w:t>
      </w:r>
    </w:p>
    <w:p>
      <w:r>
        <w:t>FR: NE_GERICHTE CPEN.2017.36 du 7 décembre 2017</w:t>
      </w:r>
    </w:p>
    <w:p>
      <w:r>
        <w:t>IT: NE_GERICHTE CPEN.2017.36 del 7 dicembre 2017</w:t>
      </w:r>
    </w:p>
    <w:p>
      <w:pPr>
        <w:pStyle w:val="Heading2"/>
      </w:pPr>
      <w:r>
        <w:t>Erwägungen</w:t>
      </w:r>
    </w:p>
    <w:p>
      <w:r>
        <w:rPr>
          <w:b/>
        </w:rPr>
        <w:t>E. 1</w:t>
      </w:r>
    </w:p>
    <w:p>
      <w:r>
        <w:t>Celui qui, sans droit, aura consommé intentionnellement des stupéfiants ou celui qui aura commis une infraction à l'art. 19 pour assurer sa propre consommation est passible de l'amende2.</w:t>
      </w:r>
    </w:p>
    <w:p>
      <w:r>
        <w:rPr>
          <w:b/>
        </w:rPr>
        <w:t>E. 2</w:t>
      </w:r>
    </w:p>
    <w:p>
      <w:r>
        <w:t>Dans les cas bénins, l'autorité compétente pourra suspendre la procédure ou renoncer à infliger une peine. Une réprimande peut être prononcée.</w:t>
      </w:r>
    </w:p>
    <w:p>
      <w:r>
        <w:rPr>
          <w:b/>
        </w:rPr>
        <w:t>E. 3</w:t>
      </w:r>
    </w:p>
    <w:p>
      <w:r>
        <w:t>Il est possible de renoncer à la poursuite pénale lorsque l'auteur de l'infraction est déjà soumis, pour avoir consommé des stupéfiants, à des mesures de protection, contrôlées par un médecin, ou s'il accepte de s'y soumettre. La poursuite pénale sera engagée, s'il se soustrait à ces mesures.</w:t>
      </w:r>
    </w:p>
    <w:p>
      <w:r>
        <w:rPr>
          <w:b/>
        </w:rPr>
        <w:t>E. 4</w:t>
      </w:r>
    </w:p>
    <w:p>
      <w:r>
        <w:t>Lorsque l'auteur sera victime d'une dépendance aux stupéfiants, le juge pourra ordonner son renvoi dans une maison de santé. L'art. 44 du code pénal suisse3est applicable par analogie.</w:t>
      </w:r>
    </w:p>
    <w:p>
      <w:r>
        <w:t>1Introduit par le ch. I de la LF du 20 mars 1975, en vigueur depuis le 1eraoût 1975 (RO19751220; FF1973I 1303).2Nouvelle expression selon le ch. 3 de l'annexe à la LF du 13 déc. 2002, en vigueur depuis le 1erjanv. 2007 (RO20063459;FF19991787). Il a été tenu compte de cette mod. dans tout le texte.3RS311.0. Actuellement "l'art. 60 et 63".</w:t>
      </w:r>
    </w:p>
    <w:p>
      <w:r>
        <w:rPr>
          <w:b/>
        </w:rPr>
        <w:t>E. 7</w:t>
      </w:r>
    </w:p>
    <w:p>
      <w:r>
        <w:t>a) Le prévenu conteste finalement avoir visionné des films à caractère zoophile. b) La teneur de l'article 197 CP a changé avec effet au 1 er juillet 2014 afin de rendre le droit suisse compatible avec la Convention de Lanzarote (Message concernant l'approbation de la convention du Conseil de l'Europe sur la protection des enfants contre l'exploitation et les abus sexuels [convention de Lanzarote] et sa mise en œuvre [modification du code pénal] du 4 juillet 2012, FF 2012 7051). Pour l'essentiel, le nouveau droit étend la punissabilité à des actes qui ne tombaient jusque-là pas sous le coup de la loi pénale, tels que la consommation de représentations de pornographie dure sans téléchargement. Sous l’empire de l’ancien droit, en vigueur jusqu’au 30 juin 2014, la possession supposait, d’un point de vue subjectif, la détention de données électroniques et, d’un point de vue objectif, la volonté d’en avoir la maîtrise. Objectivement, la maîtrise était nécessaire. En revanche, un acte d’acquisition n’était pas nécessaire. Il pouvait arriver que l’internaute se trouve de manière non intentionnelle en possession de matériel interdit et, après en avoir pris connaissance, décide de le conserver. La faculté de maîtrise des données était reconnue à celui qui sauvegardait ces données sur son propre ordinateur ou sur un autre support de données (disque dur, DVD, CD, disquette, clé USB, etc.). Il pouvait alors en disposer à sa guise, quitte à les modifier, les effacer, les copier. Il convenait de déterminer avec précision ce que l’internaute savait et voulait. Celui qui, ayant la connaissance de la sauvegarde de données pornographique punissables et ne les effaçait pas ensuite d’un passage sur Internet, manifestait sa volonté de possession et contrevenait à l’article 197 ch. 3bis a CP . La novelle, entrée en vigueur le 1 er juillet 2014, a considérablement simplifié la situation. La consommation devient punissable en tant que telle, y compris la consommation sans possession sur Internet. Pour le législateur, dans l’examen de l’intention, sont déterminants le nombre d’images et de pages consultées, de même que la provenance des fichiers (FF 2012 7096 s.). Quant au support, on songera aux films, de même qu’aux scènes de violences sexuelles ou aux images de viols filmés au moyen d’un téléphone portable ( Dupuis/ Moreillon , PC CP, n. 37 ad art. 197). c) En l’espèce, la Cour regrette que le dossier pénal ne contienne aucun élément matériel relatif à l’infraction reprochée au prévenu, de sorte qu’elle doit se contenter de se référer aux déclarations sommaires des policiers et du procureur à cet égard. On ignore en particulier si le prévenu se livrait à des téléchargements ou consommait, sans possession sur Internet, de nombreux films pornographiques portant sur le thème de la zoophilie ou si, comme il l’affirme, il a été redirigé dessus en visionnant des films pornographiques licites. Cependant, lorsque l’appelant a été entendu pour la première fois à propos du contenu de son ordinateur séquestré en octobre 2016, il a admis avoir visionné plusieurs extraits de vidéos prohibées avec des animaux et avoir classé les liens Internet de ces vidéos dans le volet des favoris de son ordinateur, pour revoir les films « par curiosité ». Le prévenu a donc intentionnellement consommé les vidéos litigieuses sans supprimer, par la suite, les fichiers litigieux immédiatement après avoir constaté leur caractère illicite. Dans la mesure où le prévenu a admis avoir consommé ces vidéos, même sans les avoir téléchargées, l’infraction, relevant de l’article 197 ch. 5 CP , doit être retenue à sa charge.</w:t>
      </w:r>
    </w:p>
    <w:p>
      <w:r>
        <w:rPr>
          <w:b/>
        </w:rPr>
        <w:t>E. 8</w:t>
      </w:r>
    </w:p>
    <w:p>
      <w:r>
        <w:t>L’appelant concluant à son acquittement, à l’exception de la contravention, il ne conteste pas spécifiquement la peine qui a été prononcée par le tribunal de police. La peine est adéquate et doit être confirmée. La Cour pénale peut se référer à cet égard à l’article 47 CP et aux éléments retenus par le tribunal de police (qu’il n’est pas nécessaire de paraphraser : art. 82 al. 4 CPP). Elle retient au surplus que le prévenu a agi sur une assez longue période, démontrant ainsi sa constance dans le comportement délictueux. Il n’a pas manifesté de repentir. Il y a lieu de tenir compte également des antécédents du prévenu. A ces composantes de culpabilité, il convient d’ajouter les éléments liés à l’auteur lui-même. Sa situation personnelle ne peut être qualifiée d’enviable, compte tenu du fait qu’il est séparé, qu’il est endetté et dépend des services sociaux, dans l’attente d’une décision de l’assurance invalidité depuis deux ans. Dès lors, la Cour pénale considère que la peine prononcée en première instance est adéquate.</w:t>
      </w:r>
    </w:p>
    <w:p>
      <w:r>
        <w:rPr>
          <w:b/>
        </w:rPr>
        <w:t>E. 9</w:t>
      </w:r>
    </w:p>
    <w:p>
      <w:r>
        <w:t>Il résulte de ce qui précède que l’appel doit être rejeté. Les frais de la procédure d'appel seront mis à la charge de l'appelant (art. 428 al. 1 CPP). Ce dernier, plaidant au bénéfice de l’assistance judiciaire, n'a pas droit à une indemnité au sens de l'article 429 CPP et de plus comme il succombe entièrement, il devra rembourser, aux conditions posées par l’article 135 al. 4 CPP, l’indemnité qui sera allouée à son défenseur d’office. L’activité alléguée par le mandataire s’élève à 16h166 pour la procédure d’appel. Le mémoire déposé indique les frais et débours, mais ne comprend pas la TVA. S’agissant d’un dossier d’ampleur moyenne qui ne présente pas de difficultés particulières, cette activité parait excessive (en particulier une durée de 8h pour la rédaction de l’appel et trois entretiens avec le client d’une durée chacun de minimum 60 minutes). Vu la connaissance du dossier de première instance du mandataire, le nombre et l’ampleur des écritures (déclaration d’appel de 4 pages et appel motivé de 13 pages), on admettra une activité globale de 12h consacrée à la procédure de deuxième instance. Au tarif horaire de 180 francs, cela conduit à une indemnité totale de 2'376 francs (frais par 216 francs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