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CMPEA.2024.73 vom 23. Januar 2025</w:t>
      </w:r>
    </w:p>
    <w:p>
      <w:r>
        <w:t>NE Tribunal cantonal, 2025-01-23, FR</w:t>
      </w:r>
    </w:p>
    <w:p>
      <w:r>
        <w:rPr>
          <w:b/>
        </w:rPr>
        <w:t xml:space="preserve">Quelle: </w:t>
      </w:r>
      <w:r>
        <w:t>https://mcp.opencaselaw.ch/entscheid/ne_gerichte_CMPEA.2024.73</w:t>
      </w:r>
    </w:p>
    <w:p>
      <w:r>
        <w:t>FR: NE_GERICHTE CMPEA.2024.73 du 23 janvier 2025</w:t>
      </w:r>
    </w:p>
    <w:p>
      <w:r>
        <w:t>IT: NE_GERICHTE CMPEA.2024.73 del 23 gennaio 2025</w:t>
      </w:r>
    </w:p>
    <w:p>
      <w:pPr>
        <w:pStyle w:val="Heading2"/>
      </w:pPr>
      <w:r>
        <w:t>Volltext</w:t>
      </w:r>
    </w:p>
    <w:p>
      <w:r>
        <w:t>Arrêt du Tribunal Fédéral</w:t>
      </w:r>
    </w:p>
    <w:p>
      <w:r>
        <w:t>Arrêt du 20.06.2025 [5A_151/2025]</w:t>
      </w:r>
    </w:p>
    <w:p>
      <w:r>
        <w:t>C O N S I DÉR A N T</w:t>
      </w:r>
    </w:p>
    <w:p>
      <w:r>
        <w:t>1.Que par courrier du 31 décembre 2024, A.________ a «port[é] à [l]attention  [de la CMPEA] des irrégularités graves survenues lors dune audience tenue le 20 novembre 2024 dans les locaux du Tribunal de conciliation du travail à Boudry  ()» et demandé des dommages et intérêts,</w:t>
      </w:r>
    </w:p>
    <w:p>
      <w:r>
        <w:t>que selon ce que lon comprend du courrier précité, une audience sest tenue le 20 novembre 2024 devant le Tribunal régional du Littoral et du Val-de-Travers, à Boudry, dans une salle consacrée dordinaire aux conciliations en matière de droit du travail et présidée par le juge B.________, dans une cause qui concernait A.________ et traitait en particulier dune demande de garde sur un enfant mineur présentée par le justiciable en lien avec la période de Noël,</w:t>
      </w:r>
    </w:p>
    <w:p>
      <w:r>
        <w:t>que le courrier du 31 décembre 2024 contient une série de griefs relatifs au déroulement de laudience (en résumé : entretien présumé en aparté entre le juge et le «médiateur C.________», [plus probablement le dénommé en sa qualité dintervenant en protection de lenfant], interruption de laudience, usage inapproprié des locaux en tant quune audience du droit de la famille sest tenue «dans des locaux affectés au Tribunal de conciliation du travail», ce qui aurait facilité des interactions informelles et compromis la perception dimpartialité et dindépendance de la justice),</w:t>
      </w:r>
    </w:p>
    <w:p>
      <w:r>
        <w:t>quaux termes de son courrier, A.________ formule cinq demandes libellées comme suit :</w:t>
      </w:r>
    </w:p>
    <w:p>
      <w:r>
        <w:t>1.Ouverture dune enquête indépendante [sur les actions du juge B.________ et de C.________, ainsi que «sur la gestion de laudience du 20 novembre 2024»]</w:t>
      </w:r>
    </w:p>
    <w:p>
      <w:r>
        <w:t>2.Révision des décisions prises</w:t>
      </w:r>
    </w:p>
    <w:p>
      <w:r>
        <w:t>3.Demande de dommages et intérêts</w:t>
      </w:r>
    </w:p>
    <w:p>
      <w:r>
        <w:t>4.Recommandations structurelles</w:t>
      </w:r>
    </w:p>
    <w:p>
      <w:r>
        <w:t>5.Transparence des résultats.</w:t>
      </w:r>
    </w:p>
    <w:p>
      <w:r>
        <w:t>2.Quà supposer que des «agissements lors dune audience» devant la présidente de lAPEA, qui nauraient pas été formalisés dans une décision, puissent être contestés devant la Cour de céans, il faudrait relever quen agissant le 31 décembre 2024, soit plus de 30 jours après la tenue de laudience litigieuse, la contestation serait tardive, que le recours soit soumis au délai de 10 jours pour des mesures provisionnelles ou à celui de 30 jours pour une procédure ordinaire (art. 445 al. 3 et 450b al. 1 CC),</w:t>
      </w:r>
    </w:p>
    <w:p>
      <w:r>
        <w:t>que le recours est alors clairement irrecevable car tardif,</w:t>
      </w:r>
    </w:p>
    <w:p>
      <w:r>
        <w:t>que, dans cette optique, il ny a pas lieu dexaminer si les principes procéduraux nont pas été respectés, comme le soutient A.________, par «[l]évacuation temporaire des parties», durant laudience, «sans explication ni enregistrement officiel».</w:t>
      </w:r>
    </w:p>
    <w:p>
      <w:r>
        <w:t>3.Que par ailleurs, lorsquil sollicite l«ouverture dune enquête indépendante», A.________ sadresse à une instance qui nest pas compétente pour cela, puisque la Cour de céans traite des recours contre des décisions prises par les autorités de protection de lenfant et de ladulte et/ou leur président/e (art. 43 al. 1OJN) ; elle ne traite pas des enquêtes de nature disciplinaire, puisque cette compétence appartient  selon la loi sur la magistrature de lordre judiciaire et la surveillance des autorités judiciaires (LMSA, RSN 162.7)  au Conseil de la magistrature (art. 47 al. 1 et 48 al. 2 let. bLMSAen particulier),</w:t>
      </w:r>
    </w:p>
    <w:p>
      <w:r>
        <w:t>que cette conclusion est donc irrecevable,</w:t>
      </w:r>
    </w:p>
    <w:p>
      <w:r>
        <w:t>quil appartient à A.________ de saisir cette autorité, sil considère que les conditions en sont réunies, la transmission à un «autre tribunal suisse () compétent» introduite désormais par larticle 143 al.1bis CPC ne valant quentre tribunaux et non pas entre un tribunal et une autorité de surveillance.</w:t>
      </w:r>
    </w:p>
    <w:p>
      <w:r>
        <w:t>4.Que dans lhypothèse où lon devrait considérer le chiffre 2 des «[d]emandes» de A.________ comme une demande de révision au sens des articles 328 ss CPC, il faudrait constater quil nexiste pas déléments nouvellement découverts, survenus avant la décision querellée mais ignorés du justiciable durant le délai de recours quil aurait laissé échoir (si tant est quune décision attaquable existait, question qui peut rester ouverte), au sens de larticle 328 al. 1 CPC,</w:t>
      </w:r>
    </w:p>
    <w:p>
      <w:r>
        <w:t>quune demande de révision ne peut pas se substituer à un recours qui naurait pas été intenté et que cette demande est en loccurrence, faute de motif de révision, également irrecevable,</w:t>
      </w:r>
    </w:p>
    <w:p>
      <w:r>
        <w:t>quà supposer que le recourant ait usé par erreur du terme de «Révision» à la place du mot «recours» (ce qui suppose quune décision attaquable existe), ce recours serait irrecevable, en ce sens que le recourant ne fournit aucune motivation suffisante contre une éventuelle décision qui aurait été rendue au fond.</w:t>
      </w:r>
    </w:p>
    <w:p>
      <w:r>
        <w:t>5.Que sagissant de la demande en dommages et intérêts, visant «une compensation financière pour les préjudices subis en raison de latteinte à [s]es droits parentaux et des dysfonctionnements observés», il sagit typiquement dune conclusion relative à une prétendue responsabilité de lEtat, soumise aux conditions et compétences de la loi sur la responsabilité des collectivités publiques et de leur agents (LResp, RSN 150.10),</w:t>
      </w:r>
    </w:p>
    <w:p>
      <w:r>
        <w:t>quà ce titre, les demandes en responsabilité sont réglées par cette loi et relèvent de la compétence, en fonction de la valeur litigieuse, des autorités désignées par larticle 20LResplorsque la prétention ne dépasse pas 30'000 francs et de celle de la commission cantonale de la responsabilité des collectivités publiques lorsque les prétentions sont supérieures à 30'000 francs (art. 25LResp),</w:t>
      </w:r>
    </w:p>
    <w:p>
      <w:r>
        <w:t>que là non plus, il ny a pas lieu à opérer une transmission doffice de la demande, par ailleurs non motivée et non chiffrée (ce qui empêche déjà didentifier linstance qui pourrait être désignée, en fonction précisément de la valeur litigieuse).</w:t>
      </w:r>
    </w:p>
    <w:p>
      <w:r>
        <w:t>6.Que sagissant finalement de recommandations structurelles qui pourraient être émises en lien avec «lorganisation des locaux et [l]es interactions entre tribunaux», elles ne pourrait être le fait que de lautorité de surveillance et/ou de gestion, si bien que la Cour de céans est incompétente à ce titre également,</w:t>
      </w:r>
    </w:p>
    <w:p>
      <w:r>
        <w:t>que la question de la transparence des résultats de lenquête éventuelle ne relève pas non plus de sa compétence.</w:t>
      </w:r>
    </w:p>
    <w:p>
      <w:r>
        <w:t>7.Que vu ce qui précède, la démarche incorporée dans le courrier de A.________ du 31 décembre 2024 est irrecevable pour les différents motifs évoqués ci-dessus, quils tiennent à la tardiveté de la démarche ou à lincompétence de la Cour de céans,</w:t>
      </w:r>
    </w:p>
    <w:p>
      <w:r>
        <w:t>que ceci doit être constaté sans interpeller ladverse partie, qui recevra copie du courrier du 31 décembre 2024 avec le présent arrêt,</w:t>
      </w:r>
    </w:p>
    <w:p>
      <w:r>
        <w:t>que les frais de cet arrêt seront mis à la charge de A.________ à hauteur de 200 francs,</w:t>
      </w:r>
    </w:p>
    <w:p>
      <w:r>
        <w:t>quil ny a pas lieu à allocation de dépens.</w:t>
      </w:r>
    </w:p>
    <w:p>
      <w:r>
        <w:t>Par ces motifs,la Cour des mesures de protectionde l'enfant et de l'adulte</w:t>
      </w:r>
    </w:p>
    <w:p>
      <w:r>
        <w:t>1.Déclare irrecevable devant elle la contestation soulevée par A.________ dans son courrier du 31 décembre 2024, au sens des considérants.</w:t>
      </w:r>
    </w:p>
    <w:p>
      <w:r>
        <w:t>2.Arrête les frais du présent arrêt à 200 francs et les met à la charge de A.________.</w:t>
      </w:r>
    </w:p>
    <w:p>
      <w:r>
        <w:t>3.Nalloue pas de dépens.</w:t>
      </w:r>
    </w:p>
    <w:p>
      <w:r>
        <w:t>Neuchâtel, le 23 janvier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