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CMPEA.2024.67 vom 29. Oktober 2025</w:t>
      </w:r>
    </w:p>
    <w:p>
      <w:r>
        <w:t>NE Tribunal cantonal, 2025-10-29, FR</w:t>
      </w:r>
    </w:p>
    <w:p>
      <w:r>
        <w:rPr>
          <w:b/>
        </w:rPr>
        <w:t xml:space="preserve">Quelle: </w:t>
      </w:r>
      <w:r>
        <w:t>https://mcp.opencaselaw.ch/entscheid/ne_gerichte_CMPEA.2024.67</w:t>
      </w:r>
    </w:p>
    <w:p>
      <w:r>
        <w:t>FR: NE_GERICHTE CMPEA.2024.67 du 29 octobre 2025</w:t>
      </w:r>
    </w:p>
    <w:p>
      <w:r>
        <w:t>IT: NE_GERICHTE CMPEA.2024.67 del 29 ottobre 2025</w:t>
      </w:r>
    </w:p>
    <w:p>
      <w:pPr>
        <w:pStyle w:val="Heading2"/>
      </w:pPr>
      <w:r>
        <w:t>Erwägungen</w:t>
      </w:r>
    </w:p>
    <w:p>
      <w:r>
        <w:rPr>
          <w:b/>
        </w:rPr>
        <w:t>E. 3</w:t>
      </w:r>
    </w:p>
    <w:p>
      <w:r>
        <w:t>Les titres déposés sont admis.</w:t>
      </w:r>
    </w:p>
    <w:p>
      <w:r>
        <w:rPr>
          <w:b/>
        </w:rPr>
        <w:t>E. 3.1</w:t>
      </w:r>
    </w:p>
    <w:p>
      <w:r>
        <w:t>[concernant l'art. 134 CC] ). e) Il faut également prendre en considération le souhait de l'enfant s'agissant de sa propre prise en charge, quand bien même il ne disposerait pas de la capacité de discernement à cet égard. Sur ce point, il appartiendra au juge du fait, qui établit les faits d'office (art. 296 al. 1 CPC et art. 314 al. 1 en relation avec l'art. 446 CC), de déterminer dans quelle mesure l'intervention d'un spécialiste, voire l'établissement d'un rapport d'évaluation sociale ou d'une expertise, est nécessaire pour interpréter le désir exprimé par l'enfant et notamment discerner s'il correspond à son désir réel (ATF 142 III 617 cons. 3.2.3). Jusqu’à l’âge de douze ans, l’audition de l’enfant servira avant tout à permettre au tribunal de se faire une idée personnelle et d’établir les faits pertinents ; ce n'est en principe pas avant cet âge que l’enfant devrait être interpellé sur son désir relatif à l’attribution de la garde ( Meier/Stettler , Droit de la filiation, 6 e éd., n. 704 p. 473). f) En l’espèce, depuis la séparation des parties à la fin de l’année 2020 et jusqu’à ce jour, la garde de l’enfant a été exercée de façon alternée , de sorte qu'il existe un lien père-fille établi et stable. Cela étant, le recourant ne conteste pas l’examen détaillé qui a été fait par la première autorité des différents critères d'appréciation pertinents pour l'attribution de la garde de l’enfant à la mère, en particulier s’agissant de la disponibilité et de la capacité et la volonté de celle-ci de favoriser les contacts entre l'autre parent et l'enfant. L’appréciation de la première juge doit être confirmée sur ces points. À l'appui de son recours, le père invoque uniquement des éléments destinés à établir que l'intimée ne disposerait pas des capacités parentales nécessaires. Les griefs invoqués sont le plus souvent anciens, notamment l'épisode de la fessée. Cet événement a déjà été abordé à de nombreuses reprises, par différentes autorités tant civiles que pénales (APEA, ministère public, ARMP). L'intimée a admis qu'elle avait effectivement empoigné sa fille et lui avait donné une fessée. À l'examen de la photographie figurant dans le dossier, on constate que celle-ci présente des bleus sur le bras ; à l'exception d'une visite à l’hôpital pour faire constater les ecchymoses, aucun suivi médical n’a été nécessaire. Les professionnels encadrant la famille, soit en particulier le curateur, le service de guidance parentale du CNPEA et l’expert, qui se sont entretenus avec l’enfant et sa mère, ont considéré qu’il s’agissait d’un acte isolé, à la suite d’une crise de l’enfant, et que la situation ne justifiait pas d’intervention au-delà d'un soutien éducatif apporté à l'intimée. Les autorités de poursuite pénale n’ont également pas jugé nécessaire de donner suite aux accusations de violence rapportées par le recourant, estimant que rien ne permettait de conclure que l’éducation donnée par la mère était fondée sur la violence ou que le développement de l’enfant était mis en danger. En outre, les quelques actes épisodiques reprochés à la mère (soit de saisir l’enfant par le bras et de lui donner une fessée ainsi que des tapes sur les doigts ou sur les fesses) entraient dans le cadre du droit de correction que la jurisprudence n’excluait pas. Si les gestes d’humeur que la mère a eu de façon occasionnelle envers sa fille sont malheureux et si l’intimée a pu éprouver parfois des difficultés à poser un cadre à sa fille, cela ne saurait remettre en cause le fait qu’elle possède les capacités éducatives nécessaires pour prendre soin de l’enfant. À cet égard, l’expertise familiale retient que la parentalité de la mère est adéquate, qu’elle parvient à se remettre en question et sait tirer profit de l’aide qui lui est offerte . L’expert relève également les efforts fournis par l’intéressée pour identifier et prioriser les besoins de l’enfant. g) Dans un deuxième temps, il convient d’examiner si le conflit parental est bien de nature à faire échec au maintien de la garde alternée, ce que le recourant conteste. Le fait que les parents s’envoient des messages WhatsApp, selon les déclarations du père, ne permet pas de retenir l’existence d’une communication parentale suffisante. La capacité à échanger en présence l’un de l’autre est en effet essentielle pour garantir un bon déroulement de la garde alternée. Or il apparaît que les parties ne parviennent pas, depuis le début de la procédure en 2021 et malgré les différentes aides mises en place (i.e. curatelle, guidance parentale), à mieux communiquer entre elles, notamment sur l'adaptation des modalités de garde durant les vacances en fonction de leurs différents impératifs ainsi qu’à se transmettre diverses informations par exemple pour le renouvellement des pièces d'identité. À l'heure actuelle, les parents n’entretiennent que très peu de contacts ; tout échange à propos de la fillette constitue une source de tension entre eux à tel point qu’ils peinent même à se saluer lorsqu’ils se voient. De manière générale le père plaide pour ses capacités compatibles avec une garde alternée alors que dans les faits on constate que le comportement de l’intéressé en procédure traduit avant tout un besoin d’apparaître comme le meilleur parent susceptible de mieux préserver le bon développement de l’enfant, en particulier lorsqu’il produit des échanges de messages dans lesquels il s’adresse à la mère comme à une parfaite inconnue en la vouvoyant et l’accusant de frapper l’enfant ou lorsqu’il critique l’intimée dans son rôle de mère et la discrédite lors de chacun de ses échanges que ce soit avec l’APEA, l’expert ou le curateur. Il y a même quelque chose de malsain à revenir de manière aussi insistante et répétée sur l’épisode de la fessée traité ci-dessus et à invoquer un besoin de contrôle des agissements de la mère par le biais de la garde alternée. Cela n’est évidemment pas ainsi que l’on doit comprendre le bien de l’enfant dans ce domaine. De l’avis unanime des professionnels encadrant l’enfant, le père peine à saisir l’enjeu d’une bonne collaboration avec la mère et son alliance avec les intervenants paraît fragile. L’impossibilité du recourant de travailler sur la coparentalité n’est pas nouvelle, dans la mesure où son suivi a justement été interrompu parce que les thérapeutes estimaient que l’intéressé ne reconnaissait pas sa part de responsabilité dans le conflit avec la mère et que le travail en commun sur la coparentalité n’avait même pas pu être entrepris avec lui. La limitation des échanges au strict minimum, dont rien ne permet d'espérer une prochaine amélioration, laisse envisager de sérieuses difficultés dans la nécessaire coopération des deux parents pour prendre correctement en charge l'enfant dans le cadre d'une garde alternée. Pour le reste, les dernières décisions rendues par l’autorité portant sur l’organisation des vacances scolaires traduisent une mésentente actuelle profonde. S’agissant de la question du souhait de l’enfant, qui a déclaré vouloir vivre chez son père, celui-ci doit être apprécié avec les réserves nécessaires s’agissant d’une fillette âgée de sept ans au moment de ses auditions devant l’APEA en octobre 2022 et l’expert en avril 2023. Il convient d’admettre qu’une enfant de cet âge ne se représente pas exactement ce que ce changement signifierait concrètement pour elle. En outre ces déclarations interviennent dans un contexte de conflit parental marqué – la fillette est ainsi exposée depuis une longue période à de fortes tensions récurrentes – et de tels propos ont peut-être aussi pour but de dénoncer une situation dans laquelle elle n’est pas confortable (cf. les réf. citées au cons. 5.e supra ). En définitive, il faut retenir que la solution décidée en première instance, soit l’attribution à la mère de la garde sur la fillette, est la plus conforme au bien de l’enfant, en l’état actuel des choses. Cela étant, il est possible que la situation se modifie et rien n’empêche les parties, en fonction de l’évolution ultérieure, notamment en rapport avec les souhaits de l’enfant, d’adapter la prise en charge d’un commun accord et sans intervention du juge, dans la mesure où cela correspondrait aux aspirations du moment de la fillette et de ses parents.</w:t>
      </w:r>
    </w:p>
    <w:p>
      <w:r>
        <w:rPr>
          <w:b/>
        </w:rPr>
        <w:t>E. 4</w:t>
      </w:r>
    </w:p>
    <w:p>
      <w:r>
        <w:t>a) Dans son premier grief, le recourant invoque une violation du droit d’être entendu de l’enfant à mesure que les propos de la fillette, tenus lors de son audition le 12 octobre 2022, n’ont pas été pris en considération par la première autorité et que celle-ci n’a pas réentendu l’enfant alors que près de deux ans se sont écoulés entre cette audition et la décision attaquée. b) La procédure devant l’autorité de protection est régie par les articles 443 ss CC. Les personnes concernées doivent être entendues personnellement, à moins que l’audition ne paraisse disproportionnée (art. 447 al. 1 CC). L'audition de l'enfant découle de ses droits de la personnalité et sert à l'établissement des faits (arrêt du TF du 10.09.2021 [5A_131/2021] cons. 3.2.1 ; ATF 146 III 203 cons. 3.3.2 [ad art. 298 al. 1 CPC]). Pour les enfants à partir d'un certain âge, l'aspect lié aux droits de la personnalité est prépondérant et l'enfant a donc un droit propre de participer à la procédure, alors que s'agissant des enfants plus jeunes, l'audition constitue avant tout un moyen de preuve, en ce sens qu'elle a pour but de permettre au juge de se faire une idée personnelle et de disposer d'une source de renseignements supplémentaires pour établir l'état de fait, raison pour laquelle les parents peuvent la requérir en leur qualité de parties à la procédure ( ATF 146 III 203 cons. 3.3.2 ; 131 III 553 cons. 1.1). Cependant, l'audition a en principe lieu d'office, indépendamment des réquisitions des parties ( ATF 146 III 203 cons. 3.3.2 ; arrêts du TF du 02.09.2024 [5A_820/2023] cons. 3.1, du 28.04.2016 [5A_714/2015] cons. 4.2.2). En principe, l’enfant ne doit être entendu qu’une fois dans le courant de la procédure, que ce soit en première ou en seconde instance, pourvu qu’il ait été entendu sur les points pertinents pour la décision et que les résultats de son audition soient toujours actuels (ATF 146 III 203 cons. 3.3.2 ; arrêt du TF du 04.02.2021 [5A_729/2020] cons. 3.3.1.1). Lorsque l'audition de l'enfant est requise, il est d'autant plus obligatoire d'y procéder, sous réserve des justes motifs prévus par la loi (arrêt du TF précité 5A_131/2021 cons. 3.2.1 et les réf. cit.). Cela signifie que l'autorité compétente ne peut pas renoncer à l'audition de l'enfant sur la base d'une appréciation anticipée des preuves proprement dite. Une telle manière de procéder irait à l'encontre de la volonté du législateur de renforcer la position de l'enfant dans le procès. En effet cela risquerait, en pratique, de permettre à l'autorité de renoncer presque systématiquement à entendre les enfants, dès lors que, s'agissant de jeunes enfants, il faut s'attendre à ce qu'ils se trouvent dans un conflit de loyauté et souhaitent généralement maintenir le lien avec chacun de leurs parents ( ATF 146 III 203 cons. 3.3.2 in fine et les nombreuses références). Ces considérations ne valent toutefois pas pour toute forme d'appréciation anticipée des preuves (arrêt du TF précité 5A_131/2021 cons. 3.2.1). Elles sont reléguées au second plan lorsque l'autorité compétente arrive à la conclusion qu'une audition de l'enfant n'aurait absolument aucune valeur probante dans le cas d'espèce et que ses résultats éventuels seraient d'emblée dénués de portée objective ou n'auraient d'emblée aucune pertinence s'agissant de l'établissement des faits décisifs pour la décision à rendre (appréciation anticipée des preuves improprement dite). Dans ce cas, le fait que l'audition de l'enfant soit liée à ses droits de la personnalité n'y change rien ; le tribunal ne saurait alors être obligé de procéder à une audition qui, dénuée de toute valeur probante, s'apparenterait à une pure démarche formelle et serait totalement inutile ( ATF 146 III 203 cons. 3.3.2 et les références). En revanche, lorsque le tribunal n'est pas convaincu que l'audition de l'enfant n'aura absolument aucune valeur probante, il doit procéder à cette audition, même s'il doute sérieusement que l'administration de ce moyen de preuve « apportera quelque chose » (appréciation anticipée des preuves proprement dite ; ATF 146 III 203 cons. 3.3.2 et les références). Parmi les « justes motifs » permettant de renoncer à l’audition de l'enfant au sens de l'article 314a al. 1 CC figure le risque que l’audition mette en danger la santé physique ou psychique de celui-ci : à ce sujet, il faut relever que la simple crainte d'imposer à l'enfant la tension d'une audition n'est pas suffisante ; encore faut-il, pour renoncer à l'audition, que cette crainte soit étayée et que le risque dépasse celui qui est inhérent à toute procédure dans laquelle les intérêts des enfants sont en jeu ( arrêt du TF précité 5A_131/2021 cons. 3.2.2 ; ATF 131 III 553 cons. 1.3.1 à 1.3.3). c) En l’espèce, C.________, actuellement âgée de dix ans, a été entendue par la présidente de l’APEA en octobre 2022 puis par le thérapeute chargé de l’expertise familiale en avril 2023, de sorte qu’il convient de la préserver et c’est donc à juste titre que la première autorité a renoncé à entendre une nouvelle fois la fillette sur les relations qu’elle entretient avec ses parents. Il convient de rappeler également que la police a tenté d’entendre l’enfant, dans le cadre de la procédure pénale ouverte contre la mère, en novembre 2024 et que l’audition s’est révélée impossible puisque la fillette « est restée mutique, n’a eu de cesse de pleurer et restait collée à sa maman ». Il apparaît que la fillette se trouve dans un état de fragilité psychique certain lorsqu’elle est amenée à s’exprimer sur sa situation familiale ; l’ on ne peut attendre aucun nouveau résultat d'une audition supplémentaire et l'utilité escomptée est sans rapport raisonnable avec la charge causée par une nouvelle audition. Par ailleurs le curateur a été amené à investiguer sur les violences alléguées par le père et a considéré, après analyse de la situation et des entretiens tant avec la mère qu’avec des intervenants de l’école de l’enfant, qu’aucune mesure urgente ne s’imposait. Les autorités de poursuite pénales sont arrivées à la même conclusion puisqu’une ordonnance de non-entrée en matière, confirmée par surabondance par l’ARMP, a été rendue suite à la plainte déposée par le recourant pour les prétendues voies de fait et la violation du devoir d’assistance ou d’éducation. La violation du droit d’être entendu de l’enfant ne peut ainsi être retenue.</w:t>
      </w:r>
    </w:p>
    <w:p>
      <w:r>
        <w:rPr>
          <w:b/>
        </w:rPr>
        <w:t>E. 5</w:t>
      </w:r>
    </w:p>
    <w:p>
      <w:r>
        <w:t>a) Le recourant soutient qu’il convient de maintenir la garde alternée sur C.________. b) L'enfant est soumis, pendant sa minorité, à l'autorité parentale conjointe (art. 296 al. 2 CC). Bien que l'autorité parentale conjointe soit désormais la règle et qu'elle comprenne le droit de déterminer le lieu de résidence de l'enfant (art. 296 al. 2 et 301a al. 1 CC ; ATF 142 III 56 cons. 3.1 et 3.5 et les réf. citées), elle n'implique pas nécessairement l'instauration d'une garde alternée. Invitée à statuer à cet égard, l'autorité compétente doit néanmoins examiner, nonobstant et indépendamment de l'accord des parents quant à une garde alternée, si celle-ci est possible et compatible avec le bien de l'enfant (ATF 142 III 612 cons. 4.2 ; ATF 142 III 617 cons. 3.2.3). Le bien de l'enfant constitue en effet la règle fondamentale en matière d'attribution des droits parentaux (ATF 143 I 21 cons. 5.5.3 ; ATF 141 III 328 cons. 5.4), les intérêts des parents devant être relégués au second plan (ATF 142 III 617 cons. 3.2.3 et les réf. citées ; arrêt du TF du 03.03.2022 [5A_401/2021] cons. 3.1.1 ; du 31.08.2021 [5A_67/2021] cons. 3.1.1). c) Lorsqu'il statue sur l'attribution de la garde, le juge compétent doit examiner en premier lieu si chacun des parents dispose de capacités éducatives. Si c'est le cas, il doit dans un deuxième temps évaluer les autres critères d'appréciation pertinents pour l'attribution de la garde à l'un des parents. Au nombre des critères essentiels pour cet examen, entrent en ligne de compte la situation géographique, la capacité et la volonté de chaque parent de favoriser les contacts entre l'autre parent et l'enfant, la stabilité que peut apporter à l'enfant le maintien de la situation antérieure, la possibilité pour chaque parent de s'occuper personnellement de l'enfant, l'âge de ce dernier et son appartenance à une fratrie ou à un cercle social. Les critères d'appréciation précités sont interdépendants et leur importance varie en fonction du cas d'espèce (arrêt du TF du 17.01.2024 [5A_23/2023] cons. 3.1.3 ; ATF 142 III 617 cons. 3.2.3). d) L’article 298 d al. 1 CC prévoit qu’à la requête de l’un des parents ou de l’enfant ou encore d’office, l’autorité de protection de l’enfant modifie l’attribution de l’autorité parentale lorsque des faits nouveaux importants le commandent pour le bien de l’enfant. Selon l’alinéa 2 de cette disposition, elle peut aussi se limiter à statuer sur la garde de l’enfant, les relations personnelles ou la participation de chaque parent à sa prise en charge. Toute modification dans l'attribution de l'autorité parentale ou de la garde suppose ainsi que la nouvelle réglementation soit requise dans l'intérêt de l'enfant en raison de la survenance de faits nouveaux essentiels. En d'autres termes, une nouvelle réglementation ne dépend pas seulement de l'existence de circonstances nouvelles importantes ; elle doit aussi être commandée par le bien de l'enfant (ATF 111 II 405 cons. 3 [concernant l'art. 157 aCC] ; arrêt du TF du 08.03.2023 [5A_633/2022] cons. 4.1 ; du 09.02.2021 [5A_762/2020] cons. 4.1 du 14.03.2016 [5A_781/2015] cons. 3.2.2 et les références [concernant l'art. 134 CC]). La modification ne peut ainsi être envisagée que si le maintien de la réglementation actuelle risque de porter atteinte au bien de l'enfant et le menace sérieusement ; la nouvelle réglementation doit s'imposer impérativement, en ce sens que le mode de vie actuel nuit plus au bien de l'enfant que le changement de réglementation et la perte de continuité dans l'éducation et les conditions de vie qui en est consécutive (arrêt du TF [5A_762/2020] précité cons. 4.1 ; du 03.08.2020 [ 5A_228/2020] cons.</w:t>
      </w:r>
    </w:p>
    <w:p>
      <w:r>
        <w:rPr>
          <w:b/>
        </w:rPr>
        <w:t>E. 6</w:t>
      </w:r>
    </w:p>
    <w:p>
      <w:r>
        <w:t>a) Il résulte de ce qui précède que le recours doit être rejeté. Les frais et dépens de la procédure de deuxième instance seront mis à la charge du recourant. b) Il convient d’accorder l’assistance judiciaire à la partie intimée comme elle le demande (art. 12 LAJ). Elle est indigente et sa position n’est pas vouée à l’échec. c) Rien à ce stade ne permet de penser que le recourant ne pourra pas s’acquitter des dépens qu’il doit à l’intimée (art. 122 al. 2 CPC). Aucune des parties n’a déposé de relevés d’activités. Compte tenu de la nature de la cause, qui ne posait pas de problème juridique particulier pour un avocat expérimenté, qui au surplus connaissait le dossier pour l’avoir suivi en première instance depuis 2021, l’indemnité de dépens allouée à l’intimée peut être arrêtée à 1'785 francs, frais, débours et TVA compris (soit environ 5 heures de travail d’avocat). Au besoin, il sera statué sur l’indemnité d’avocat d’office de Me G.________ par décision séparée.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