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CMPEA.2024.20 vom 10. September 2024</w:t>
      </w:r>
    </w:p>
    <w:p>
      <w:r>
        <w:t>NE Tribunal cantonal, 2024-09-10, FR</w:t>
      </w:r>
    </w:p>
    <w:p>
      <w:r>
        <w:rPr>
          <w:b/>
        </w:rPr>
        <w:t xml:space="preserve">Quelle: </w:t>
      </w:r>
      <w:r>
        <w:t>https://mcp.opencaselaw.ch/entscheid/ne_gerichte_CMPEA.2024.20</w:t>
      </w:r>
    </w:p>
    <w:p>
      <w:r>
        <w:t>FR: NE_GERICHTE CMPEA.2024.20 du 10 septembre 2024</w:t>
      </w:r>
    </w:p>
    <w:p>
      <w:r>
        <w:t>IT: NE_GERICHTE CMPEA.2024.20 del 10 settembre 2024</w:t>
      </w:r>
    </w:p>
    <w:p>
      <w:pPr>
        <w:pStyle w:val="Heading2"/>
      </w:pPr>
      <w:r>
        <w:t>Erwägungen</w:t>
      </w:r>
    </w:p>
    <w:p>
      <w:r>
        <w:rPr>
          <w:b/>
        </w:rPr>
        <w:t>E. 1</w:t>
      </w:r>
    </w:p>
    <w:p>
      <w:r>
        <w:t>Interjeté dans les formes et délai légaux, le recours est recevable.</w:t>
      </w:r>
    </w:p>
    <w:p>
      <w:r>
        <w:rPr>
          <w:b/>
        </w:rPr>
        <w:t>E. 2</w:t>
      </w:r>
    </w:p>
    <w:p>
      <w:r>
        <w:t>a) Un principe fondamental de l’aménagement du territoire prescrit qu’aucune construction ou installation ne peut être créée ou transformée sans autorisation de l’autorité compétente (art. 22 al. 1 LAT). La délivrance de l’autorisation nécessite en particulier que l’installation soit conforme à l’affectation de la zone (art. 22 al. 2 let. a LAT) ou que le requérant puisse se prévaloir d’une exception à ce principe de la conformité à l’affectation de la zone. En l'espèce, il n'est pas contesté que le couvert est une construction ou installation au sens de l'article 22 LAT et de la réglementation cantonale et que sa mise en place est ainsi soumise à autorisation. b) Le recourant allègue que la construction est conforme à la zone d'utilisation différée, dans laquelle les règles de la zone agricole s'appliquent. L'article 16a LAT fixe les conditions générales auxquelles des constructions et des installations peuvent être considérées comme conformes à l'affectation de la zone agricole. Ces conditions font l'objet d'une réglementation plus détaillée dans diverses dispositions de l'Ordonnance sur l'aménagement du territoire, du 28 juin 2000 (OAT), principalement à l'article 34 OAT . A teneur de l'article 16a al. 1, 1 re phrase LAT , sont conformes à l’affectation de la zone agricole les constructions et installations qui sont nécessaires à l’exploitation agricole ou à l’horticulture productrice. En d'autres termes, seules les constructions dont la destination correspond à la vocation agricole du sol peuvent y être autorisées, le sol devant être le facteur de production primaire et indispensable ( ATF 125 II 278 cons. 3a). L'article 34 al. 1 OAT précise qu'il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Le droit fédéral admet en outre, à l'article 34 al. 2 OAT , la conformité à l'affectation de la zone agricole des constructions et installations qui servent à la préparation, au stockage ou à la vente de produits agricoles ou horticoles si ces derniers sont produits dans la région et que plus de la moitié d'entre eux proviennent de l'exploitation où se trouvent lesdites constructions ou d'exploitations appartenant à une communauté de production (let. a), si la préparation, le stockage ou la vente ne revêt pas un caractère industriel (let. b) et si l'exploitation où se trouvent lesdites constructions et installations conserve son caractère agricole ou horticole (let. c). Par ailleurs, des constructions ou installations liées à la production hors-sol peuvent être admises en zone agricole sur la base de l'article 16a al. 2 LAT , pour autant qu'elles servent au développement interne de l'exploitation. Il y a "développement interne" lorsqu'un secteur de production non tributaire du sol – garde d'animaux de rente (art. 36 OAT), cultures maraîchères ou horticoles indépendantes du sol (art. 37 OAT ) – est adjoint à une exploitation tributaire de façon prépondérante du sol afin que la viabilité de cette exploitation soit assurée (Message du Conseil fédéral relatif à la révision partielle de la LAT, FF 1996 III 489). c) Dans le cas d'espèce, la culture des fleurs et des arbustes étant effectuée en plaine, on ne saurait considérer que la construction litigieuse sert à l'exploitation tributaire du sol. Par ailleurs, on ne saurait retenir que le hangar sert à l'horticulture selon un mode de production indépendant du sol lié à une exploitation tributaire de façon prépondérante du sol afin que la viabilité de cette exploitation soit assurée. En effet, le stockage des plantations jusqu'à leur maturité ne constitue pas une production horticole indépendante du sol. Enfin, le hangar servant à l'entreposage des plantes n'a pas sa place en zone agricole au sens de l'article 34 al. 2 OAT , étant donné que les produits horticoles ne proviennent nullement de l'exploitation où se trouve la construction litigieuse (cf. à cet égard également ATF 129 II 413 cons. 3). Enfin, la formation d'apprenants est étrangère aux critères retenus par le législateur pour juger de la conformité à la zone agricole.</w:t>
      </w:r>
    </w:p>
    <w:p>
      <w:r>
        <w:rPr>
          <w:b/>
        </w:rPr>
        <w:t>E. 3</w:t>
      </w:r>
    </w:p>
    <w:p>
      <w:r>
        <w:t>a) Le recourant soulève également le grief de la violation du principe de l'égalité de traitement, lequel, consacré par l'article 8 Cst. féd., est violé lorsqu'une décision établit des distinctions juridiques qui ne se justifient par aucun motif raisonnable au regard de la situation de fond à réglementer ou lorsqu'elle omet de faire des distinctions qui s'imposent au vu des circonstances. L'inégalité de traitement apparaît ainsi comme une forme particulière d'arbitraire consistant à traiter de manière inégale ce qui devrait être traité de manière semblable ou inversement ( ATF 134 I 23 cons. 9.1 et la jurisprudence citée). X.________ voit une inégalité de traitement dans le fait que si son exploitation se trouvait en plaine, il pourrait installer une serre amovible ou un tunnel agricole. Or, il s'agit là d'une situation qui n'est pas semblable à la sienne et que le législateur a précisément traitée différemment si bien que ce grief doit être rejeté.</w:t>
      </w:r>
    </w:p>
    <w:p>
      <w:r>
        <w:rPr>
          <w:b/>
        </w:rPr>
        <w:t>E. 4</w:t>
      </w:r>
    </w:p>
    <w:p>
      <w:r>
        <w:t>a) Dans le cas de constructions ou installations hors zone d'urbanisation, l e département peut contraindre le propriétaire à démolir ou à modifier à ses frais toute construction ou installation réalisée sans son approbation ou en violation de sa décision (art. 64 LCAT en lien avec les articles 46 et 46a LConstr .). Selon la jurisprudence, l'ordre de démolir une construction édifiée sans permis et pour laquelle une autorisation ne pouvait être accordée n'est en principe pas contraire au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 du TF du 10.12.2013 [1C_269/2013] cons. 4.1 et les références citées) . Même un constructeur qui n'est pas de bonne foi peut invoquer le principe de proportionnalité (arrêt du TF du 26.10.2011 [1C_101/2011] cons. 2.1) . Toutefois, c 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 ATF 123 II 248 cons. 4a, 111 Ib 213 cons. 6b et les références citées ). Les mesures mentionnées aux articles 46 ss LConstr . sont de la compétence du département pour les constructions ou installations hors de la zone d'urbanisation (art. 46a LConstr .). b) Dans la mesure où son autonomie est en cause, la commune, lorsqu'elle est habilitée à statuer, peut dès lors exiger que l'autorité cantonale respecte les limites de sa compétence (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RJN 1994, p.172 ss et les références citées), cela d'autant plus que la commune est mieux à même d'apprécier les conditions locales et de déterminer la politique qu'elle entend suivre en la matière ( RJN 2010, p. 397 cons. 2b) . Lorsque le département est compétent, il dispose de même d'un large pouvoir d'appréciation en la matière (arrêt de la CDP du 12.02.2016 [CDP.2012.106] cons. 8c).</w:t>
      </w:r>
    </w:p>
    <w:p>
      <w:r>
        <w:rPr>
          <w:b/>
        </w:rPr>
        <w:t>E. 5</w:t>
      </w:r>
    </w:p>
    <w:p>
      <w:r>
        <w:t>En l'occurrence, la pesée des intérêts amène à la conclusion que le principe de proportionnalité n'a pas été violé. Force est de constater en effet que la violation du droit matériel ne saurait être qualifiée de peu d'importance, la construction se trouvant en zone agricole et présentant une longueur de 15 mètres, une largeur de 5 mètres et une hauteur de 2,5 mètres. Concernant la pesée des intérêts, le Conseil d'Etat estime que le département n'a pas commis d'abus ou d'excès de son pouvoir d'appréciation étant donné que la construction litigieuse coûtait environ 2'000 francs et que sa déconstruction peut être effectuée en une demi-journée. Il y a lieu de rappeler ici que le principe de la séparation des zones constructibles et non constructibles est un des principes du droit fédéral de l'aménagement du territoire les plus importants (cf. notamment ATF 132 II 21 cons. 6.4; JT 2006 I 707 cons. 6.4). Par ailleurs, l'intérêt public s'oppose à l'intérêt privé du recourant qui est principalement d'ordre patrimonial. L'intérêt financier ne revêt qu'un poids restreint face à l'intérêt public au rétablissement d'une situation conforme au droit ( ATF 141 II 476 ). Le recourant ne conteste pas que les frais de démolition sont peu élevés, mais fait valoir que cette dernière le place d'un point de vue professionnel dans une situation problématique. Il doit toutefois s'en accommoder, étant donné qu'il a procédé à la construction en toute illégalité et que cette démolition ne fait que le replacer dans la situation qui était la sienne auparavant. Dès lors, c'est avec raison que le Conseil d'Etat a estimé que le département n'avait pas abusé de son large pouvoir d'appréciation.</w:t>
      </w:r>
    </w:p>
    <w:p>
      <w:r>
        <w:rPr>
          <w:b/>
        </w:rPr>
        <w:t>E. 6</w:t>
      </w:r>
    </w:p>
    <w:p>
      <w:r>
        <w:t>Il suit de ce qui précède que le recours doit être rejeté. Vu le sort de la cause, les frais doivent être mis à la charge du recourant (art. 47 al. 1 LPJA ) et ce dernier ne peut prétendre à des dépens (art. 48 al. 1 a contrario LPJA ).</w:t>
      </w:r>
    </w:p>
    <w:p>
      <w:r>
        <w:rPr>
          <w:b/>
        </w:rPr>
        <w:t>E. 30</w:t>
      </w:r>
    </w:p>
    <w:p>
      <w:r>
        <w:t>juin 2024,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 En reprenant une formulation similaire, dans sa version également en vigueur jusquau 30 juin 2024, larticle 189 CP réprime la contrainte dune personne à subir un acte analogue à lacte sexuel ou un autre acte dordre sexuel, sous la menace dune peine privative de liberté de dix ans au plus ou dune peine pécuniaire.</w:t>
      </w:r>
    </w:p>
    <w:p>
      <w:r>
        <w:t>Comme le rappelle le Tribunal fédéral (arrêt du TF du20.04.2020 [6B_159/2020]), pour quil y ait contrainte en matière sexuelle ou viol, il faut que la victime ne soit pas consentante, que lauteur le sache ou accepte cette éventualité et quil passe outre en profitant de la situation ou en utilisant un moyen efficace. Les articles189et190 CPtendent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107cons. 2.2 et les arrêts cités).</w:t>
      </w:r>
    </w:p>
    <w:p>
      <w:r>
        <w:t>Il en résulte que toute pression ou tout comportement conduisant à un acte sexuel non souhaité ne saurait être qualifié de contrainte. Larticle190 CP, comme larticle189 CP, ne protège des atteintes à la libre détermination en matière sexuelle que pour autant que lauteur surmonte ou déjoue la résistance que lon pouvait raisonnablement attendre de la victime (ATF 133 IV 49cons. 4 et larrêt cité). Linfraction visée par larticle190 CPexige donc nonseulementquune personne subisse lacte sexuel alors quelle ne le veut pas, mais également quelle le subisse du fait dune contrainte exercée par lauteur. À défaut dune telle contrainte, de lintensité exigée par la loi et la jurisprudence, il ny a pas viol, même si la victime ne souhaitait pas entretenir une relation sexuelle (arrêt du TF du16.04.2018 [6B_502/2017]cons. 1.1).Récemment, le Tribunal fédéral la rappelé en indiquant explicitement que, même si la jurisprudence ne posait pas des exigences très élevées en la matière, la contrainte restait l'un des éléments constitutifs du viol (sur lensemble de la question, cf.ATF 148 IV 234cons. 3.8 et les arrêts cités).</w:t>
      </w:r>
    </w:p>
    <w:p>
      <w:r>
        <w:t>La violence désigne l'emploi volontaire de la force physique sur la personne de la victime dans le but de la faire céder (ATF 122 IV 97cons. 2b ; arrêts du TF du03.12.2007 [6B_267/2007]cons. 6.3 ; du 17.12.1997 [6S.688/1997] cons.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de lui tordre un bras derrière le dos (arrêt du TF du07.06.2007 [6P.56/2007]cons. 6.2) ou encore le faitde presser la victime contre un mur ou de lenfermer sans violence (Dupuis et al., PC CP, 2eéd. 2017, n. 18 ad art. 189 et les arrêts cités ;ATF 119 IV 224cons. 2).</w:t>
      </w:r>
    </w:p>
    <w:p>
      <w:r>
        <w:t>En introduisant la notion de «pressions dordre psychique», le législateur a voulu viser les casoù lauteur provoque chez la victime des effets dordre psychique, tels que la surprise, la frayeur ou le sentiment dune situation sans espoir, propre à la faire céder (ATF 128 IV 106cons. 3a/bb ;126 IV 124cons. 2b). En cas de pression dordre psychique, il nest pas nécessaire que la victime ait été mise hors détat de résister (ATF 124 IV 154cons. 3b).</w:t>
      </w:r>
    </w:p>
    <w:p>
      <w:r>
        <w:t>Pour déterminer si lon se trouve en présence dune contrainte sexuelle (art.189 CP) ou dun viol (art.190 CP), il faut procéder à une appréciation globale des circonstances concrètes déterminantes et tenir compte de la situation personnelle de la victime (ATF 131 IV 107cons. 2.2). Pour que la contrainte soit réalisée, il faut au moins que les circonstances concrètes rendent la soumission compréhensible. Tel est le cas lorsque la victime est placée dans une situation telle quil serait vain, pour elle, de résister physiquement ou dappeler du secours ou que cela entraînerait un préjudice disproportionné, de sorte que lauteur parvient à ses fins, en passant outre au refus, sans avoir nécessairement à employer la violence ou la menace (ATF 122 IV 97cons. 2b ;119 IV 309cons. 7b).</w:t>
      </w:r>
    </w:p>
    <w:p>
      <w:r>
        <w:t>5.a) À compter du 1erjuillet 2024, larticle190 al. 1 CPaura la teneur suivante : «[q]uiconque, contre la volonté dune personne, commet sur elle ou lui fait commettre lacte sexuel ou un acte analogue qui implique une pénétration du corps ou profite à cette fin dun état de sidération dune personne, est puni dune peine privative de liberté de cinq ans au plus.».</w:t>
      </w:r>
    </w:p>
    <w:p>
      <w:r>
        <w:t>Dans sa nouvelle teneur à compter également du 1erjuillet 2024, larticle189 al. 1 CPprévoit que : «[q]uiconque, contre la volonté dune personne, commet sur elle ou lui fait commettre un acte dordre sexuel ou profite à cette fin dun état de sidération dune personne, est puni dune peine privative de liberté de trois ans au plus ou dune peine pécuniaire.»</w:t>
      </w:r>
    </w:p>
    <w:p>
      <w:r>
        <w:t>b) Selonl'art.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lalex mitior). Il en découle que l'on applique en principe la loi en vigueur au moment où l'acte a été commis, à moins que la nouvelle loi ne soit plus favorable à l'auteur (ATF 147 IV 97cons. 4.2.1). La loi fédérale portant sur la révision du droit pénal en matière sexuelle ne prévoit pas de règles particulières sur le droit transitoire (FF 2023 1521, p. 2289 ss).</w:t>
      </w:r>
    </w:p>
    <w:p>
      <w:r>
        <w:t>Pour déterminer quel est le droit le plus favorable, il y a lieu d'examiner l'ancien et le nouveau droit dans leur ensemble et de comparer les résultats auxquels ils conduisent dans le cas concret (ATF 135 IV 113cons. 2.2 ;134 IV 82cons. 6.2.1 ; arrêt du TF du26.02.2019 [6B_1053/2018]cons. 3.3).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134 IV 82cons. 6.2.3 ; arrêt du TF [6B_1053/2018] précité cons. 3.4). Si l'un et l'autre droit conduisent au même résultat, c'est l'ancien droit qui est applicable (cf. arrêt du TF du17.04.2007 [6B_14/2007]cons 4.2) (ATF 147 IV 241cons. 4.2.2).</w:t>
      </w:r>
    </w:p>
    <w:p>
      <w:r>
        <w:t>c)Le cur de la réforme du droit pénal en matière sexuelle est l'extension des infractions de viol et de contrainte sexuelle. Dans le droit en vigueur avant le 1erjuillet 2024, ces infractions nétaient réalisées que si l'auteur contraignait la victime à des actes d'ordre sexuel, par la menace ou par la violence. Cette condition nest désormais plus nécessaire, la notion dabsence de consentement («contre la volonté dune personne») étant au centre de linfraction de base.</w:t>
      </w:r>
    </w:p>
    <w:p>
      <w:r>
        <w:t>Dans son message relatif à la réforme du droit pénal en matière sexuelle, le Conseil fédéral a proposé dadapter les articles189et190 CPpour élargir la notion de viol et ne plus la réserver exclusivement aux victimes féminines (FF 2018 2889, p. 2934). Les articles189et190 CP, dans leur nouvelle forme, reposent sur les réflexions suivantes: la suppression de lexpression «de sexe féminin» dans larticle sur le viol (art.190, al. 1 CP) permettra dappliquer la peine plus sévère à toute personne qui contraint un homme à commettre lacte sexuel ; lexpression «acte analogue à lacte sexuel» na fait son apparition à larticle189 CPquau cours des débats parlementaires. Elle indique que certaines formes de contrainte sexuelle peuvent traumatiser la victime autant quun acte sexuel forcé et quil faut tenir compte de lintensité de lacte dordre sexuel au moment de la fixation de la peine. La jurisprudence et la doctrine parlent dactes au cours desquels lorgane sexuel (primaire) de lune des personnes impliquées entre en contact étroit avec le corps de lautre personne. Lexemple classique dun « acte analogue à lacte sexuel », élément qui, suite à la révision, figurera à larticle190 CP, est la «pénétration». Cette formulation contribuera au respect du principe de la précision de la base légale (art. 1). La pénétration désigne lintroduction de lorgane masculin dans lanus ou la bouche ou de toute autre partie du corps (doigt, poing) ou objet dans le vagin ou lanus. Il appartiendra au juge de déterminer au cas par cas quels autres actes dordre sexuel impliquant une pénétration doivent se rattacher à cette catégorie. Dautres actes analogues à lacte sexuel nimpliquant pas de pénétration sont envisageables. Ils sécartent de lexemple classique, mais peuvent être tout aussi graves que lacte sexuel forcé. On pense notamment à la stimulation du vagin ou du pénis avec la langue ou les lèvres. La jurisprudence devra là aussi indiquer quels actes tombent sous le coup de larticle190 CP(FF 2018 2889, p. 2935).</w:t>
      </w:r>
    </w:p>
    <w:p>
      <w:r>
        <w:t>Il ressort donc du message du Conseil fédéral que l'ancien régime du droit pénal en matière sexuelle avait, en principe, un champ dapplication plus restreint que celui en vigueur depuis le 1erjuillet 2024. Ainsi, les actes seront considérés comme viol ou comme atteinte et contrainte sexuelles dans tous les cas où la victime aura fait comprendre à l'auteur, par des mots ou des gestes, qu'elle ne veut pas entretenir de rapports sexuels avec lui et où celui-ci aura intentionnellement passé outre la volonté exprimée par la victime. C'est ainsi la solution du refus, dite "non, c'est non", qui est mise en place. L'état de sidération dans lequel se retrouve la victime sera également considéré comme une expression de refus. Si la victime est pétrifiée par la peur et n'est pas en mesure d'exprimer son refus ou de se défendre, l'auteur aura à répondre de viol ou d'atteinte et contrainte sexuelles s'il profite de l'état de choc dans lequel elle se trouve (Communiqué du Conseil fédéral «Les nouvelles dispositions du droit pénal en matière sexuelle entreront en vigueur le 1er juillet 2024» du 10.01.2024, consultable sur le site Internet : https://www.admin.ch/gov/fr/accueil/documentation/communiques.msg-id- 99508.html).</w:t>
      </w:r>
    </w:p>
    <w:p>
      <w:r>
        <w:t>d)En procédant à une comparaison concrète entre lancien droit et le nouveau droit pour déterminer quel est le droit le plus favorable au prévenu, la Cour cantonale devra appliquer aux infractions en cause l'ancien droit, sous l'empire duquel les faits se sont produits, à mesure que, comme il en sera question ci-dessous (v.infracons. 7) lun et lautre conduisent au même résultat.</w:t>
      </w:r>
    </w:p>
    <w:p>
      <w:r>
        <w:t>6.a) En lespèce, il estconstant que le prévenu et la plaignante se sont fréquentés durant près dune année entre 2020 et 2021. Des relations sexuelles régulières ont été entretenues à compter du mois de décembre 2020. Il est également constant quà une occasion, dans une douche de la plage de X.________, des actes dordre sexuel ont eu lieu, en juillet 2021. Les deux partenaires étaient, au moment des faits, âgés entre 16 et 17 ans et il sagissait pour lun et lautre  indépendamment de savoir si une relation sexuelle unique a eu lieu avant pour B.________, ce que ce dernier na pas confirmé lors de son audition et na pas indiqué lors de son expertise psychiatrique  de leur première relation sentimentale suivie et incluant des relations sexuelles. On peut retenir également que les relations sexuelles entre les parties ont eu lieu à raison de plusieurs fois par semaine dès les premières, puis à un rythme moins important. En somme, les parties divergent, sagissant des relations sexuelles, sur le consentement de la plaignante.</w:t>
      </w:r>
    </w:p>
    <w:p>
      <w:r>
        <w:t>b) Sous langle du consentement, le Tribunal pénal des mineurs a considéré que les versions de la plaignante et du prévenu étaient toutes deux également crédibles, sous réserve de menues contradictions chez le prévenu (lorsquil a dit, dune part, que les relations intimes sétaient raréfiées et, dautre part, que la plaignante était de plus en plus expressive et demandeuse).</w:t>
      </w:r>
    </w:p>
    <w:p>
      <w:r>
        <w:t>Cette appréciation doit  pour délicat que cela soit en pareille circonstance  être nuancée et avant cela, on notera déjà que la contradiction évoquée ci-avant et que le Tribunal précédent a vue dans les propos du prévenu nen est pas forcément une, à mesure que la plaignante a pu, au début de la relation, ne pas être demanderesse, puis changer son attitude, avant finalement que la relation ne décline.</w:t>
      </w:r>
    </w:p>
    <w:p>
      <w:r>
        <w:t>b.i) La Cour considère que le prévenu a été constant dans ses dénégations, même si la description détaillée de certains événements a pu être légèrement différente dune audition à lautre. Si on prend en particulier lépisode qui sest déroulé dans la cabine de douche à X.________, on constate que lors de son audition par la police le 31 mars 2022, le prévenu a parlé de sêtre «juste touché[s]», ne pas penser quil y avait eu une fellation, ou alors «peut-être mais pas long», précisant ne plus se souvenir ce qui sétait passé. Cest en substance ce quil a indiqué lors de son interrogatoire devant la Cour de céans. Lors de son audition par le juge des mineurs le 9 novembre 2022, le prévenu sest vu soumettre des préventions dont les faits qui incluaient une fellation et il les a admis, tout en précisant que la plaignante était entièrement daccord, quil avait fait sur elle des actes sexuels auxquels elle avait consenti, quelle ne sétait pas étouffée et navait pas failli vomir et que linteraction navait duré que quelques secondes car tous les deux nappréciaient pas. Lors de laudience de jugement du 6 novembre 2024, le prévenu a indiqué ne pas se souvenir sil y avait eu une fellation à X.________. Ces auditions successives ne mettent pas à mal sa crédibilité, tant il est concevable que, dans une succession de rapports (la prévenue souligne le caractère répété des relations selon elles non consenties), les souvenirs de chacun deux ne sont pas toujours absolument précis. Le fait que B.________ ait admis des actes de type sexuel dans la cabine de douche à X.________ tend à accréditer sa sincérité, plus que le fait quil naurait pas de souvenir totalement précis desdits actes ne le discréditerait. Il en va de même du visionnage de pornographie, et en particulier lextrait dit «du cochon» (extrait zoophile). Le fait quil admette cela constitue un indice de sa sincérité. De plus, la manière dont la plaignante a été confrontée à cet extrait nest pas en lien direct avec les atteintes à son intégrité sexuelle dont elle accuse B.________. Que ce dernier ne sache pas ou plus exactement comment la plaignante a vu la vidéo zoophile ne signifie pas quil aurait menti en lien avec le déroulement des relations intimes entretenues avec la plaignante. Le fait par ailleurs de confronter la plaignante à de la pornographie «pour se donner des idées» nentre pas forcément en conflit avec le fait de dire que lappelante était pudique et ne parlait pas volontiers de la sexualité. À mesure que les messages envoyés par lappelante à lintimé ne sont pas à la disposition de la Cour, elle ne dispose pas déléments permettant de retenir que la plaignante aurait exprimé son refus à ce titre. À cet égard, retenir, comme le veut la plaignante, que le fait que lintimé nait pas lui-même produit les messages qui le disculperaient heurterait le principe daccusation. Finalement, labsence sur les avant-bras du prévenu de marques qui auraient été faites au moyen de règles affutées ne permet en tous cas pas daccréditer les menaces concrètes au suicide. De telles menaces pourraient ressortir de messages WhatsApp, mais il est difficile de les évaluer à mesure quils sont sortis dune conversation dont on ne dispose pas des messages de lautre interlocuteur, soit de ce que la plaignante a envoyé au prévenu. Par ailleurs, le lien temporel entre lun ou lautre de ces messages et un acte sexuel entre les parties nest pas donné. Le fait que celui-ci se soit senti mal durant la période où les protagonistes se fréquentaient est admis et pris en compte par lexpert. Cela ne signifie pas encore que le prévenu aurait menacé la plaignante au moyen dune règle affutée, ni quil aurait menti dans sa relation des faits. On soulignera pour terminer que le fait de dire ou penser quentretenir des relations sexuelles lorsquon est en couple serait normal est une chose et quelle se distingue très nettement du fait de penser ou dire quentretenir de telles relations au moyen de la contrainte le serait.</w:t>
      </w:r>
    </w:p>
    <w:p>
      <w:r>
        <w:t>b.ii) En revanche, plusieurs divergences entre les déclarations de la plaignante devant la police et celles devant le Tribunal pénal des mineurs (soit les deux moments où elle a été entendue) interpellent. En premier lieu, A.________ na pas parlé devant la police de coups que lui aurait donné B.________, alors que devant le tribunal, elle a indiqué que le prévenu lui «mettait souvent des coups». Des coups durant des relations sexuelles, qui plus est de partenaires novices, nest pas aussi anodin au point que lon pourrait imaginer que la plaignante aurait oublié de le dire lors de son premier récit. Ceci vaut dautant plus que la police a, au fur et à mesure de laudition, aiguillé la plaignante sur des thèmes dont elle pourrait devoir parler et a clôturé laudition par la question «Y a-t-il dautres choses que tu voudrais me dire ?». Si on tient la recension que le père de la plaignante et plaignant lui-même a rédigée du dévoilement des faits, dans laquelle figurent les éléments essentiels de ce que A.________ dira aux policiers, on constate quil ny est pas question de coups qui lui auraient été portés par B.________.</w:t>
      </w:r>
    </w:p>
    <w:p>
      <w:r>
        <w:t>La plaignante a en outre dit devant le tribunal : «Je lui ai résisté essentiellement par la parole, pas physiquement. Je disais que je nen avais pas envie et quil me laisse tranquille. B.________ passait outre et souvent je continuais à lui dire non et je finissais par marrêter». Certes, sagissant de la dernière relation sexuelle entretenue, A.________ a indiqué à la police quelle avait dit plusieurs fois quelle ne souhaitait pas cette relation et que le prévenu devait arrêter. Elle a cependant indiqué ensuite : «Cest arrivé plusieurs fois quil ait des problèmes et quil voulait le faire. Il a réussi à le faire et jai pas osé dire quelque chose pour éviter les problèmes. À votre demande, je narrive pas à dire pour quelles raisons cette fois-là jai crié[se référant là à une relation qui sétait déroulée au domicile du père et de la belle-mère de B.________, après laquelle ces derniers avaient parlé à A.________ et lui avaient demandé de ne plus crier sur B.________, en référence à leurs disputes]. Après il y a eu des choses qui mont fait tellement peur que jai laissé faire et narrivais plus à dire quelque chose». Sous langle ainsi dun refus exprimé par la parole, la version présentée devant la police ne concorde pas entièrement avec celle exposée au Tribunal pénal des mineurs. Elle ne concorde pas non plus avec celle présentée devant la Cour de céans, où lappelante a en particulier dit : «Je pense que B.________ a pu voir que je nétais pas consentante. Je peux le dire parce que lui-même me disait : je sais que tu ne veux pas mais jen ai envie il faut absolument que je le fasse. Je lui disais alors non, je ne veux pas. À ce moment-là il devenait agressif. Cela sest passé souvent de cette façon, presque à chaque fois, durant un peu moins dun an». On constate donc une évolution du récit entre les phases précédentes (refus exprimé, puis la plaignante renonce à résister devant linsistance du prévenu) et la Cour de céans (refus exprimé et réitéré, avec un prévenu qui passe outre en devenant agressif, ce qui nest pas du tout le même tableau et ce qui surprend dautant plus quon parlerait sur la période considérée dune centaine de relations non consenties).</w:t>
      </w:r>
    </w:p>
    <w:p>
      <w:r>
        <w:t>Le récit de A.________ est fragilisé par des éléments que lon peine à se représenter, par exemple en lien avec le bref séjour dune nuit à Europa Park. Selon la mère de la plaignante, ce séjour avait été lenfer pour sa fille (ce quà tout le moins le ton des messages échangés entre G.________ et H.________ avant le voyage ne laissait pas présager), à mesure que B.________ avait voulu dormir dans le même lit, ce que la plaignante ne souhaitait pas. Plus concrètement : «Le lit était dans la même chambre que le lit des parents [de B.________] avec une séparation par un mur. Pendant la nuit, il a voulu avoir des rapports, il lui a sauté dessus, elle sest débattue, elle a crié et les parents nont pas bougé». La belle-mère de B.________ a indiqué au contraire : «Nous navons rien entendu de particulier. Si quelque chose avait dû être entendu, nous laurions entendu étant donné la proximité». Le père de B.________ a, pour sa part, indiqué : «Concernant les événements dEuropa Park, je nai rien vu, ni rien entendu. A.________ ne sest dailleurs pas plainte de quoi que ce soit le lendemain». Il ressort du dossier que les parents de B.________, belle-mère incluse, montraient de lattention au couple et on imagine mal dans ce contexte quils auraient laissé faire ce qui serait alors une contrainte sexuelle ou même un viol perpétré directement devant leurs yeux. On relèvera aussi que lépisode dEuropa Park navait pas été mentionné dans le récit présenté à la police, pas plus quil nest évoqué dans la recension du dévoilement ; il nen a au contraire été question quà partir de lintervention du mandataire de A.________ du 29 septembre 2022, ce qui est troublant, sagissant dun épisode qui  tel quexposé ensuite  devait apparaît comme crucial.</w:t>
      </w:r>
    </w:p>
    <w:p>
      <w:r>
        <w:t>Par ailleurs, et plus largement, il est difficile de se convaincre quune relation ait pu se dérouler sur de longs mois, avec plusieurs relations sexuelles contraintes par semaine, sans que la plaignante, même sujette à un intense sentiment de honte ou très pudique, ne sen ouvre à ses parents ou, à tout le moins lorsque loccasion lui en a été donnée, auprès du thérapeute de B.________ quelle était allée voir avec lui, à linitiative de ce dernier et avec qui elle avait eu un entretien individuel. À cet égard, la mère de la plaignante a posé à cette dernière des questions en lien avec la sexualité du couple et A.________ avait nié les relations, alors que cela aurait été loccasion, plusieurs fois répétée, de demander de laide ou de se confier sil y avait eu des abus. Ceci vaut dautant plus que A.________ peut compter sur le soutien et lencadrement de parents présents et soucieux delle, quelle possède un niveau déducation élevé et que même sil est dit delle quelle est taciturne et réservée, son parcours scolaire témoigne du fait quelle peut être décidée, ce que le fait quelle ait mis elle-même fin à la relation et nait ensuite plus cédé aux pressions de B.________ confirme. Par ailleurs, la nature de la relation, soit une fréquentation de nature sentimentale qui naît autour dintérêts communs (la moto) et conduit à des relations intimes durant plusieurs mois rend difficilement explicable que lun des partenaires aurait accepté de continuer à fréquenter lautre (avec lequel il nexistait pas de ménage commun) si ce dernier commettait les abus dont il est accusé. Lappelante nexplique à ce titre pas ce qui laurait  mise à part linsistance de B.________, mais à laquelle elle aurait sans doute pu se soustraire en cessant de se rendre aux rendez-vous poussée à continuer à fréquenter lauteur dinfraction contre elle, qui plus dinfractions très graves.</w:t>
      </w:r>
    </w:p>
    <w:p>
      <w:r>
        <w:t>Il nest certes pas exclu que le récit de A.________ retrace la façon dont elle-même a vécu la situation ; il nen demeure pas moins que du point de vue du caractère reconnaissable de labsence de consentement, on ne peut considérer que les versions seraient équivalentes. Partant, cest à juste titre que le Tribunal pénal des mineurs a acquitté B.________, la Cour de céans ne parvenant pas non plus à se convaincre dun usage structurel et même ponctuel de la force ou de violences psychologiques pour obtenir des relations ou actes dordre sexuels.</w:t>
      </w:r>
    </w:p>
    <w:p>
      <w:r>
        <w:t>c) Pour les mêmes raisons, et même si lon devait tenir les deux versions pour également crédibles, le principe de la présomption dinnocence imposerait de mettre B.________ au bénéfice du doute. En dautres termes, devant deux versions quil nest pas possible de départager en faveur de laccusation, cest un acquittement quil convient de prononcer. Dans cette optique, le jugement du Tribunal pénal des mineurs ne peut être que confirmé. Pas plus que ce tribunal, la Cour de céans ne parvient à se convaincre de la culpabilité de B.________ et la Cour est à vrai dire troublée du fait que les échanges entre les deux partenaires, sur la messagerie WhatsApp, naient été produits que de manière tronquée. On peut certes comprendre que la plaignante souhaite préserver son intimité (explication quelle a dabord donnée, avant dindiquer que cétait sa précédente avocate qui avait voulu faire le tri), mais cette façon partielle de présenter les faits ne permet en tout cas pas de se convaincre de la culpabilité de B.________. En vertu du principe accusatoire, ce nest pas à ce dernier quil appartenait dapporter la preuve de son innocence. Le fait que les messages de la plaignante naient pas été produits par le prévenu ne signifie pas quils ne contenaient pas déléments à décharge. De plus, lappréciation quon peut faire des messages versés au dossier ne peut être effectuée complètement sans connaître les messages de lautre interlocuteur. Sy ajoute le fait que la plaignante est régulièrement retournée vers B.________, sur une très longue période, alors même quelle disait parallèlement être abusée par lui, ce qui ne va pas dans le sens dun partenaire qui aurait voulu sémanciper dune personne qui laurait contrainte.</w:t>
      </w:r>
    </w:p>
    <w:p>
      <w:r>
        <w:t>d) Quoi quil en soit, la situation nest pas différente que lon applique lancien ou le nouveau droit, à mesure que le refus nest pas démontré (respectivement le doute doit profiter à laccusé) et nétait pas reconnaissable pour le prévenu. En effet, et comme déjà mentionné, dans le droit en vigueur avant le 1erjuillet 2024, les infractions de viol (art.190 CP) et de contrainte sexuelle (art.189 CP) nétaient réalisées que si l'auteur contraignait la victime à des actes d'ordre sexuel, par la menace ou par la violence. Cette condition nest désormais plus nécessaire, mais celle de labsence de consentement le reste. Ainsi, les actes seront considérés comme viol ou comme atteinte et contrainte sexuelles dans tous les cas où la victime aura fait comprendre à l'auteur, par des mots ou des gestes, qu'elle ne veut pas entretenir de rapports sexuels avec lui et où celui-ci aura intentionnellement passé outre la volonté exprimée par la victime. C'est ainsi la solution du refus, dite «non, c'est non», qui est mise en place. L'état de sidération dans lequel se retrouve la victime sera également considéré comme une expression de refus. Si la victime est pétrifiée par la peur et n'est pas en mesure d'exprimer son refus ou de se défendre, l'auteur aura à répondre de viol ou d'atteinte et contrainte sexuelles s'il profite de l'état de choc dans lequel elle se trouve. Même si, à compter du 1erjuillet 2024, la contrainte nest pas nécessaire sous langle de larticle190et189 CP, le prévenu ne peut être condamné, à mesure que la Cour de céans ne retient pas le refus exprimé de la recourante ; dautre part, il ne peut être retenu que la recourante se serait trouvée dans un état de sidération tel quelle aurait été pétrifiée par la peur et quelle naurait ainsi pas été en mesure dexprimer son refus ou de se défendre. Elle ne laffirme dailleurs pas, le fait quelle se «sent[e] coupable de ne pas avoir su [s]e défendre» ne correspondant pas à un état de sidération. Du reste, un état de sidération est difficilement envisageable sur une durée de plusieurs mois, entre deux personnes qui ne vivent pas ensemble et dont on ne voit pas pour quelle raison celle qui sestime victime dinfractions contre lintégrité sexuelle continuerait à entretenir la relation. Le fait que la plaignante se soit sentie étouffée par le prévenu, chose que lui-même reconnaît comme ayant pu être possible, et quelle ait rompu la relation au moment où il demandait avec insistance à emménager ensemble, ne signifie pas encore que la plaignante se serait trouvée dans un état de sidération, pas plus que cet étouffement serait assimilable à une contrainte structurelle qui aurait permis au prévenu de passer outre le refus exprimé et reconnaissable de la plaignante.</w:t>
      </w:r>
    </w:p>
    <w:p>
      <w:r>
        <w:t>Une fois encore, cela ne signifie pas que la plaignante nait pas ressenti la relation comme oppressante et peu épanouissante. Cette conclusion implique seulement, dans le système juridique, que la culpabilité de B.________ nest pas établie, que ce soit sous lancien comme sous le nouveau droit, ce qui devait conduire à son acquittement.</w:t>
      </w:r>
    </w:p>
    <w:p>
      <w:r>
        <w:t>7.Vu le rejet de lappel, les frais et dépens de première instance ne seront pas revus (art. 428 al. 3 CPP). Les frais de procédure dappel seront mis à la charge de lappelante, qui succombe (art. 428 al. 1 CPP). Lintimé plaide au bénéfice de lassistance judiciaire et il ne saurait donc prétendre à une indemnisation au sens de larticle 432 CPP. Lindemnité de lavocat doffice du prévenu sera fixée au montant  raisonnable  ressortant du rapport dactivité déposé, qui retient un temps  également raisonnable  consacré à la procédure dappel dun peu moins de 11 heures. Lappelante naura pas à rembourser lindemnité allouée au mandataire doffice du prévenu, faute de base légale correspondant à larticle 135 al. 4 CPP pour le plaignant condamné aux frais (ATF 145 IV 90). À mesure que le prévenu ne supporte pas les frais, il naura pas non plus à rembourser lindemnité davocat doffice de son mandataire (art. 135 al. 4 CPPa contrario).</w:t>
      </w:r>
    </w:p>
    <w:p>
      <w:r>
        <w:t>Par ces motifs,la Cour des mesures de protectionde l'enfant et de l'adulte</w:t>
      </w:r>
    </w:p>
    <w:p>
      <w:r>
        <w:t>Vu les articles 10, 189, 190 CP, 428, 432 CPP</w:t>
      </w:r>
    </w:p>
    <w:p>
      <w:r>
        <w:t>1.Lappel de A.________ est rejeté et le jugement du Tribunal pénal des mineurs des Montagnes et du Val-de-Ruz du 22 février 2024 est confirmé.</w:t>
      </w:r>
    </w:p>
    <w:p>
      <w:r>
        <w:t>2.Les frais de la procédure dappel sont arrêtés à 700 francs et mis à la charge de lappelante.</w:t>
      </w:r>
    </w:p>
    <w:p>
      <w:r>
        <w:t>3.Une indemnité de 2'069.55 francs, frais inclus, est allouée à Me L.________, mandataire doffice de B.________, pour la procédure dappel.</w:t>
      </w:r>
    </w:p>
    <w:p>
      <w:r>
        <w:t>4.Lindemnité fixée au chiffre précédent ne sera pas remboursable.</w:t>
      </w:r>
    </w:p>
    <w:p>
      <w:r>
        <w:t>5.Le présent jugement est notifié à A.________, par Me M.________, B.________, par Me L.________, au Ministère public, à La Chaux-de-Fonds (MP.2023.6348) et au Tribunal pénal des mineurs, à La Chaux-de-Fonds (TPM.2022.304).</w:t>
      </w:r>
    </w:p>
    <w:p>
      <w:r>
        <w:t>Neuchâtel, le 10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