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CMPEA.2021.51 vom 12. Mai 2022</w:t>
      </w:r>
    </w:p>
    <w:p>
      <w:r>
        <w:t>NE Tribunal cantonal, 2022-05-12, FR</w:t>
      </w:r>
    </w:p>
    <w:p>
      <w:r>
        <w:rPr>
          <w:b/>
        </w:rPr>
        <w:t xml:space="preserve">Quelle: </w:t>
      </w:r>
      <w:r>
        <w:t>https://mcp.opencaselaw.ch/entscheid/ne_gerichte_CMPEA.2021.51</w:t>
      </w:r>
    </w:p>
    <w:p>
      <w:r>
        <w:t>FR: NE_GERICHTE CMPEA.2021.51 du 12 mai 2022</w:t>
      </w:r>
    </w:p>
    <w:p>
      <w:r>
        <w:t>IT: NE_GERICHTE CMPEA.2021.51 del 12 maggio 2022</w:t>
      </w:r>
    </w:p>
    <w:p>
      <w:pPr>
        <w:pStyle w:val="Heading2"/>
      </w:pPr>
      <w:r>
        <w:t>Erwägungen</w:t>
      </w:r>
    </w:p>
    <w:p>
      <w:r>
        <w:rPr>
          <w:b/>
        </w:rPr>
        <w:t>E. 1</w:t>
      </w:r>
    </w:p>
    <w:p>
      <w:r>
        <w:t>L’appel de Y.________ a été interjeté dans le délai utile de 30 jours (art. 311 CPC) contre une décision de l’APEA. La CMPEA est compétente pour traiter des recours contre les décisions rendues par l’APEA (art. 43 OJN ). Vu les conclusions prises en dernier lieu par l’appelant en première instance ( RJN 2020, p. 221 , cons. 1c) , la valeur litigieuse est supérieure à 10'000 francs (art. 308 al. 2 CPC). Partant, l’appel de Y.________, intervenu dans les formes requises (art. 311 CPC), est recevable.</w:t>
      </w:r>
    </w:p>
    <w:p>
      <w:r>
        <w:rPr>
          <w:b/>
        </w:rPr>
        <w:t>E. 2</w:t>
      </w:r>
    </w:p>
    <w:p>
      <w:r>
        <w:t>La maxime d’office s’applique à l’entretien de l’enfant mineur, de sorte que la fixation des contributions en faveur des enfants échappe à l’interdiction de la reformatio in pejus , celle-ci ne s’appliquant que si les prétentions des parties sont soumises au principe de disposition (art. 58 al. 1 CPC) (arrêt de la CMPEA du 10.07.2019 [ CMPEA.2018.51 ] cons. 2a et les références citées ; Jeandin , in CR CPC, 2e éd., n. 3 ad art. 296).</w:t>
      </w:r>
    </w:p>
    <w:p>
      <w:r>
        <w:rPr>
          <w:b/>
        </w:rPr>
        <w:t>E. 3</w:t>
      </w:r>
    </w:p>
    <w:p>
      <w:r>
        <w:t>a) Aux termes de l’article 276 CC ,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b) Selon l'article 285 al. 1 CC, la contribution d'entretien doit correspondre aux besoins de l'enfant ainsi qu'à la situation et aux ressources des père et mère (al. 1). La contribution d’entretien sert aussi à garantir la prise en charge de l’enfant par les parents et les tiers (al. 2). L'obligation d'entretien trouve sa limite dans la capacité contributive du débirentier, en ce sens que le minimum vital de celui-ci doit être préservé ( ATF 141 III 401 cons. 4.1, 140 III 337 cons. 4.3 ; arrêt du TF du 25.10.2019 [5A_329/2019] cons. 3.3.3.1). c) Pour les couples séparés, le parent gardien assume l’entretien de l’enfant en nature ( Céline de Weck-Immelé , in : CPRa Matrimonial, n. 34 ad art. 176 CC). De son côté, le parent qui n’a pas la garde de son enfant doit contribuer à son entretien par le paiement d’une contribution en espèces (art. 276 al. 2 CC ; Céline de Weck-Immelé , op. cit., n. 34 ad art. 176 CC). Selon l’article 285a al. 1 CC, les allocations familiales versées à la personne tenue de pourvoir à l'entretien de l'enfant doivent être payées en sus de la contribution d'entretien. d) Afin de fixer la contribution d’entretien due à l’enfant, il faut examiner les ressources de chaque parent. L 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 07.03.2018 [5A_764/2017] cons. 3.2 ; ATF 143 III 233 cons. 3.2 et 137 III 102 cons.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 ATF 137 III 118 cons. 3.1 ; arrêt du TF du 06.03.2019 [5A_946/2018] cons.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arrêt du TF du 01.10.2020 [5A_375/2020] cons. 4.1 et les références citées, du 03.05.2019 [5A_1046/2018] cons. 4.3 et du 06.03.2019 [5A_946/2018] cons. 3.1).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 4.7.6). Ces principes, développés en lien avec la fixation de contributions d’entretien en matière de séparation et divorce de conjoints mariés, doivent valoir également lorsque les conjoints ne sont pas mariés – situation dans laquelle la question d’une contribution d’entretien en faveur du parent gardien ne se pose pas comme telle –, puisque le manco de ce parent gardien est intégré dans le calcul de l’entretien convenable de l’enfant, en plus de ses coûts directs (art. 285 al. 2 CC, ATF 144 III 377 , cons. 7.1.1). Il n’y a, sous cet angle, pas lieu de traiter différemment le parent gardien marié ou non. e) Depuis le mois de novembre 2020, la jurisprudence prescrit une méthode de calcul des contributions d’entretien uniformisée dans toute la Suisse, appelée méthode concrète en deux étapes avec répartition éventuelle de l’excédent (arrêt du TF du 11.11.2020 [5A_311/2019] ).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Pour les enfants, si les revenus couvrent le minimum vital de tous, on prend aussi en compte le minimum du droit de la famille, qui comprend notamment, en plus du minimum d’existence, une part aux impôts du parent gardien et les primes d’assurance-maladie dépassant l’assurance obligatoire (des frais de voyage et de loisirs ne sont comptés que pour la répartition, ultérieure, d’un éventuel excédent). Quand le minimum du droit de la famille peut être couvert pour tous, l’excédent est en général réparti par têtes, en tenant compte des circonstances concrètes, notamment de besoins particuliers. Une assez large part d’appréciation est laissée au juge pour la répartition de l’excédent, dans chaque cas concret. Les mêmes principes s’appliquent en cas de garde alternée ; la charge financière doit alors être assumée dans une proportion inverse de celle de la prise en charge, étant précisé que l’asymétrie du taux de prise en charge et de la capacité contributive ne consiste pas en une simple opération de calcul, mais doit refléter la mise en œuvre du principe d’équivalence des prestations en argent et en nature. f) Les frais d’acquisition du revenu doivent être pris en considération dans l’examen de l’indigence ( de Weck-Immelé , CPra- Matrimonial, n. 88 ad. art. 176 CC) . Ces frais comprennent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en raison de 10 litres/100 km auquel s’ajoute un montant pour l’entretien du véhicule entre 100 et 300 francs par mois ; CPra Matrimonial-de Weck-Immelé , art. 176 CC, n. 104 et les références citées ; Collaud , Le minimum vital élargi du droit de la famille, RFJ 2005 313ss, 319).</w:t>
      </w:r>
    </w:p>
    <w:p>
      <w:r>
        <w:rPr>
          <w:b/>
        </w:rPr>
        <w:t>E. 4</w:t>
      </w:r>
    </w:p>
    <w:p>
      <w:r>
        <w:t>a) L’appelant reproche à la première autorité d’avoir constaté inexactement sa situation financière. Il soutient que ses frais de déplacement auraient dû être pris en compte. b) Dans la mesure où l’appelant exerce une activité lucrative, qu’il a allégué son lieu de domicile, celui de l’entreprise où il travaille, la distance séparant ces lieux, la fréquence de ses trajets professionnels, il convient de prendre en considération des d’acquisition du revenu. Cependant, seuls les frais de déplacement indispensables sont admissibles, soit en principe ceux des transports publics à moins de circonstances particulières justifiant le recours à un véhicule privé. En l’occurrence, l’appelant n’a fourni aucun motif (la contrainte de ses horaires de travail qui seraient inconciliables avec ceux des transports publics, son état de santé, des difficultés à se mouvoir, un lieu de travail inaccessible en transports publics sans efforts disproportionnés, etc.) pour justifier l’usage d’un mode de transport individuel motorisé. Si la distance séparant son domicile de son lieu de travail s’élève à 12 km après vérification sur les sites internet www.viamichelin.com et « Google Maps », soit 24 km pour un aller-retour, il faut également relever qu’il habite au chemin [aaaaa] à Z.________, soit à proximité du centre de la localité, laquelle est desservie par les transports publics. S’agissant du tarif applicable pour un abonnement de bus ou de trains, il faut retenir que Z.________ et W.________ se trouvent dans les zones tarifaires 10 et 11 ( https://www.transn.ch/ fileadmin/transn/pdf/Plans/plan_reseau_2022.VF.pdf). L’appelant peut donc prétendre à la prise en compte dans son minimum vital du coût d’un abonnement TransN pour deux zones dont le montant d’élève à 73 francs par mois pour la deuxième classe (https://www.transn.ch/voyageurs/voyager/billets-et-abos/abos-onde-verte/). c) En reprenant les principes déduits de la jurisprudence tel exposés ci-dessus, il convient de relever que les revenus des père et mère ne suffiront pas à couvrir la totalité de l’entretien dû à l’enfant (qui comprend la couverture des coûts directs et une contribution de prise en charge). La situation financière du père présente un excédent de 1’593 francs. Contrairement à ce qu’avait estimé la présidente de l’APEA, la charge fiscale de l’appelant ne peut pas être retenue dans la situation des parties qui est déficitaire (un revenu mensuel net de 4'416 francs par mois, une fois les allocations familiales déduites ; un montant insaisissable pour un débiteur vivant seul de 1'200 francs, un loyer de 1'200 francs, des primes d’assurance maladie obligatoire de 350 francs et le prix d’un abonnement TransN de 73 francs par mois soit un total de charges de 2'823 francs). Les charges d’entretien de la mère s’élèvent à 2'497 francs, ce qui n’est pas contesté (montant insaisissable selon le droit des poursuites pour un débiteur devant s’occuper d’enfants 1'350 et le loyer 1'147 francs, les primes d’assurances maladie étant prise en charge par la collectivité). Les coûts directs liés à la prise en charge de l’enfant s’élèvent à 712 francs (un montant insaisissable pour l’enfant de moins de 10 ans d’un débiteur de 400 francs, 202 francs de part au loyer du parent gardien, 110 francs de prime pour l’assurance maladie) ou à 492 francs une fois déduites les allocations financières. La contribution de prise en charge, qui s’élève à 2'497 francs, s’ajoute aux coûts directs : l’entretien convenable de l’enfant est ainsi arrêté à 3'209 francs. L’intimée, qui est mère d’un enfant en bas âge (2 ans et demi), n’exerce aucune activité professionnelle. Elle bénéficie de l’aide des services sociaux. Dans ces conditions, il ne peut être exigé d’elle qu’elle prenne un emploi, même à temps partiel. Aucun revenu hypothétique ne peut donc lui être imputé. d) Par conséquent, la contribution d’entretien, prononcée par la première autorité, qui n’épuisait pas l’entier du disponible de l’appelant, doit être augmentée sensiblement à 1'593 francs. Les allocations familiales, qui avaient été déduites ci-dessus, seront reversées à la mère pour l’enfant. Il convient donc de réformer d’office le jugement sur ce point. L’appel sera donc rejeté.</w:t>
      </w:r>
    </w:p>
    <w:p>
      <w:r>
        <w:rPr>
          <w:b/>
        </w:rPr>
        <w:t>E. 5</w:t>
      </w:r>
    </w:p>
    <w:p>
      <w:r>
        <w:t>a) Les frais judiciaires de la procédure d’appel, arrêtés à 500 francs, seront mis à la charge du recourant qui, s’il gagne sur l’un de ses moyens, voit la contribution d’entretien qu’il doit à son fils augmentée, à mesure que sa situation financière a dû être réexaminée d’office. b) À mesure que l’APEA a statué sans frais ni fixé de dépens, il n’y a pas lieu de revoir la répartition de ceux-ci. c) Même si l’appelant obtient partiellement gain de cause sur la question de ses frais de déplacement, il succombe intégralement. Vu l’issue de la cause, il n’y a donc pas lieu à l’octroi de dépens, l’intimée n’ayant pas procédé. Le mandataire de l’appelant a déposé son mémoire d’honoraires, en prévision de la fixation de son indemnité d’avocat d’office. Le temps consacré à la rédaction du recours (soit 2 heures au tarif horaire de 110 francs et 2 heures au tarif de 180 francs) est excessif pour un acte de six pages dont seule une page porte sur la partie en droit et ne soulève en réalité qu’un seul grief. L’activité admise pour la seconde instance correspond finalement à 3 heures et 5 minutes, soit 627.50 francs (555 francs, frais par 27.70 francs et TVA par 44.80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