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CMPEA.2018.67 vom 5. März 2019</w:t>
      </w:r>
    </w:p>
    <w:p>
      <w:r>
        <w:t>NE Tribunal cantonal, 2019-03-05, FR</w:t>
      </w:r>
    </w:p>
    <w:p>
      <w:r>
        <w:rPr>
          <w:b/>
        </w:rPr>
        <w:t xml:space="preserve">Quelle: </w:t>
      </w:r>
      <w:r>
        <w:t>https://mcp.opencaselaw.ch/entscheid/ne_gerichte_CMPEA.2018.67</w:t>
      </w:r>
    </w:p>
    <w:p>
      <w:r>
        <w:t>FR: NE_GERICHTE CMPEA.2018.67 du 5 mars 2019</w:t>
      </w:r>
    </w:p>
    <w:p>
      <w:r>
        <w:t>IT: NE_GERICHTE CMPEA.2018.67 del 5 marzo 2019</w:t>
      </w:r>
    </w:p>
    <w:p>
      <w:pPr>
        <w:pStyle w:val="Heading2"/>
      </w:pPr>
      <w:r>
        <w:t>Erwägungen</w:t>
      </w:r>
    </w:p>
    <w:p>
      <w:r>
        <w:rPr>
          <w:b/>
        </w:rPr>
        <w:t>E. 1</w:t>
      </w:r>
    </w:p>
    <w:p>
      <w:r>
        <w:t>est partiellement ou totalement empêchée d'assurer elle-même la sauvegarde de ses intérêts en raison d'une déficience mentale, de troubles psychiques ou d'un autre état de faiblesse qui affecte sa condition personnelle;</w:t>
      </w:r>
    </w:p>
    <w:p>
      <w:r>
        <w:rPr>
          <w:b/>
        </w:rPr>
        <w:t>E. 2</w:t>
      </w:r>
    </w:p>
    <w:p>
      <w:r>
        <w:t>est, en raison d'une incapacité passagère de discernement ou pour cause d'absence, empêchée d'agir elle-même et qu'elle n'a pas désigné de représentant pour des affaires qui doivent être réglées.</w:t>
      </w:r>
    </w:p>
    <w:p>
      <w:r>
        <w:t>2L'autorité de protection de l'adulte prend en considération la charge que la personne concernée représente pour ses proches et pour les tiers ainsi que leur besoin de protection.</w:t>
      </w:r>
    </w:p>
    <w:p>
      <w:r>
        <w:t>3Elle institue la curatelle d'office ou à la requête de la personne concernée ou d'un proche.</w:t>
      </w:r>
    </w:p>
    <w:p>
      <w:r>
        <w:t>1Au terme de ses fonctions, le curateur adresse à l'autorité de protection de l'adulte un rapport final et, le cas échéant, les comptes finaux. L'autorité peut dispenser le curateur professionnel de cette obligation si ses rapports de travail prennent fin.</w:t>
      </w:r>
    </w:p>
    <w:p>
      <w:r>
        <w:t>2L'autorité de protection de l'adulte examine et approuve le rapport final et les comptes finaux de la même façon que les rapports et les comptes périodiques.</w:t>
      </w:r>
    </w:p>
    <w:p>
      <w:r>
        <w:t>3Elle adresse le rapport et les comptes finaux à la personne concernée ou à ses héritiers et, le cas échéant, au nouveau curateur; elle rend ces personnes attentives aux dispositions sur la responsabilité.</w:t>
      </w:r>
    </w:p>
    <w:p>
      <w:r>
        <w:t>4En outre, elle leur communique la décision qui libère le curateur de ses fonctions ou celle qui refuse l'approbation du rapport final ou des comptes finaux.</w:t>
      </w:r>
    </w:p>
    <w:p>
      <w:r>
        <w:rPr>
          <w:b/>
        </w:rPr>
        <w:t>E. 3</w:t>
      </w:r>
    </w:p>
    <w:p>
      <w:r>
        <w:t>Selon l’article 447 CC, la personne concernée doit être entendue personnellement, à moins que l’audition personnelle ne paraisse disproportionnée. En l’occurrence, le président de l’APEA n’a pas tenu une audience pour discuter du résultat de l’expertise psychiatrique ou du rapport d’activité, qui tous deux ont été transmis à X.________ pour information, par courrier écrit. Il est exceptionnellement possible de renoncer à l’audition personnelle prévue à l’article 447 al. 1 CC lorsqu’elle apparaît disproportionnée au regard de l’ensemble des circonstances (CommFam Protection de l’adulte/ Steck , art. 447 no 17 CC). Dans le cas particulier, X.________ a montré qu’il était parfaitement à même de s’exprimer par écrit pour faire valoir son point de vue quant à la valeur et à la portée de l’expertise ainsi qu’aux activités du curateur – l'expertise et le rapport lui ayant été transmis et le dossier envoyé à son avocat de l'époque. De ce point de vue-là, on admettra que le droit d’être entendu de la personne concernée n’a pas été violé.</w:t>
      </w:r>
    </w:p>
    <w:p>
      <w:r>
        <w:rPr>
          <w:b/>
        </w:rPr>
        <w:t>E. 4</w:t>
      </w:r>
    </w:p>
    <w:p>
      <w:r>
        <w:t>La décision attaquée a deux objets principaux, à savoir d’une part l’approbation du rapport et des comptes du curateur A.________ et, d’autre part, l’examen de la nécessité et, cas échéant, de la portée d’une mesure de protection à l’égard de X.________.</w:t>
      </w:r>
    </w:p>
    <w:p>
      <w:r>
        <w:rPr>
          <w:b/>
        </w:rPr>
        <w:t>E. 5</w:t>
      </w:r>
    </w:p>
    <w:p>
      <w:r>
        <w:t>a) Un arrêt du Tribunal cantonal valaisan du 4 septembre 2017 (RVJ 2018 p. 143) résume les principes et la jurisprudence applicables en matière d’approbation du rapport et des comptes. L’autorité de protection de l’adulte examine et approuve le rapport final et les comptes finaux de la même façon que les rapports et les comptes périodiques (art. 425 al. 2 CC). Le résultat de cet examen est l’approbation ou le refus d'approbation. L'approbation prend la forme d'une décision qui constate que le curateur a rempli son devoir de présenter les comptes et qu'il a exécuté son mandat, selon les prescriptions légales et les directives de l'autorité de protection, dans l'intérêt de la personne protégée. En ce sens, la décision d'approbation est l'expression du devoir de surveillance de l'autorité de protection ( Affolter/Vogel , Commentaire bâlois, n. 50 ad art. 425 CC ; sous l'ancien droit, cf. Kaufmann , Commentaire bernois, n. 22 ad art. 423 aCC). Selon la jurisprudence et la doctrine, l'examen du compte final ne se limite pas à une vérification purement comptable des divers articles qui en font l'objet, « mais doit également porter sur la légitimité des mesures prises par le tuteur » ( ATF 137 III 637 cons. 1.2 et l’arrêt cité), sur le point de savoir si le curateur a fait valoir toutes les prétentions (en particulier en droit des assurances sociales) de la personne sous protection et s’il a suffisamment justifié des modifications intervenues dans son patrimoine ( Affolter/Vogel , op. cit. n. 51 in fine ad art. 425 CC ; Kaufmann , op. cit. , n. 8 ad art. 425 aCC) ; enfin, l’autorité de protection contrôle que les consentements nécessaires à certains actes (cf. art. 416 CC) ont été préalablement obtenus par le curateur ( Steinauer/Fountoulakis , Droit des personnes physiques et de la protection de l’adulte, Berne, 2014, no 1246, p. 552 et no 1272 , p. 560). L’autorité de protection doit examiner de manière particulièrement approfondie s’il y a lieu d’intenter une action en responsabilité (cf. art. 454 ss CC). S’il ne lui appartient pas de statuer en la matière, l’autorité de protection peut s’exprimer à ce sujet dans le cadre de l’approbation du rapport et des comptes finaux ( Rosch , n. 20 ad art. 425 CC ; Good , p. 170). L’approbation du rapport et des comptes finaux n’a pas d’effet de droit matériel direct ( Meier/Lukic , Introduction au nouveau droit de l’adulte, Genève, 2011, no 654, p. 293) ; elle ne décharge par ailleurs pas intégralement le curateur, celui-ci pouvant être recherché en responsabilité sur la base de l’article 454 CC (arrêts du 04.04.2014 [5A_151/2014] cons. 6.1 in fine ; du 06.09.2013 [5A_494/2013] cons. 2.1 et 2.2, résumé in ZKE 2013, p. 478 s ; sous l’ancien droit cf. arrêt du 01.10.2008 [5A_578/2008] cons. 1 ; Good , p. 181). L’approbation des comptes jouit toutefois d’une force probante accrue, puisque l’examen par l’autorité de protection n’est pas limité aux aspects formels ; on présumera que les comptes sont corrects (arrêt du TF du 02.12.2014 [5A_714/2014] cons. 4.3 in fine ; Affolter/Vogel , n. 52 in fine ad art. 425 CC ; Rosch , n. 22 ad art. 425 CC). Conformément à l’article 425 al. 3 CC , l’autorité de protection adresse le rapport et les comptes finaux à la personne concernée ou à ses héritiers et, le cas échéant, au nouveau curateur (1 ère phrase) ; elle rend ces personnes attentives aux dispositions sur la responsabilité (2 nde phrase), l’omission de cette mention ou son caractère insuffisant entraînant la nullité de la communication ( Rosch , op. cit. n. 31 art. 425 CC et la référence ; Steinauer/Fountoulakis , op. cit. no 1274, p. 560 s.). La décision d’approbation ou le refus d’approuver le rapport et les comptes finaux peuvent être attaqués par la personne sous curatelle, ses héritiers si elle est décédée ou le curateur, pour ce dernier uniquement sous l’angle de la violation du devoir d’information (arrêts du TF [5A_665/2013] précité cons. 5 ; du 21.01.2011 [5A_11/2011] ; [5A_578/2008] précité cons. 1) ; les critiques concernant d’éventuels manquements du curateur ou la mauvaise gestion patrimoniale sont à faire valoir au moyen de l’action en responsabilité de l’article 454 CC (cf. arrêt [5A_494/2013] précité cons. 2.1 ; Affolter/Vogel , op. cit., n. 57 ad art. 425 CC). b) La décision dont est recours prononce l’approbation du rapport et des comptes sans aucune motivation spécifique, l’essentiel des considérants se rapportant à la nécessité et aux contours de la curatelle. Le dossier ne permet pas d’établir si les comptes présentés par le curateur ont été contrôlés par l’APEA (l’auteur des traits bleus figurant sur les documents financiers présentés étant inconnu). Il ne paraît pas que le recourant ou son nouveau curateur aient été rendus attentifs aux dispositions sur la responsabilité. Dans ces conditions, il y a lieu d’annuler la décision attaquée en tant qu’elle approuve le rapport et les comptes du curateur et de retourner le dossier à l’APEA pour qu’elle procède conformément aux exigences légales.</w:t>
      </w:r>
    </w:p>
    <w:p>
      <w:r>
        <w:rPr>
          <w:b/>
        </w:rPr>
        <w:t>E. 6</w:t>
      </w:r>
    </w:p>
    <w:p>
      <w:r>
        <w:t>aa) Selon l’article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affectent sa condition personnelle. A l’instar de l’ancien droit de la tutelle, une cause de curatelle (état objectif de faiblesse) ainsi qu’une condition de curatelle (besoin de protection) doivent être réunies pour justifier le prononcé d’une curatelle. C’est l’intensité du besoin de protection qui déterminera l’ampleur exacte de la protection à mettre en place ( Meier , Droit de la protection de l’adulte, Genève-Zurich-Bâle 2016, n. 719). La loi prévoit trois causes alternatives, à savoir la déficience mentale, les troubles psychiques ou tout autre état de faiblesse qui affectent la condition de la personne concernée, qui correspondent partiellement à l’ancien droit de la tutelle ( Meier , Droit de la protection de l’adulte, n. 720). Les termes « troubles psychiques » englobent toutes les pathologies mentales reconnues en psychiatrie, soit celles qui sont d’origine physique (exogène, organique, symptomatique) et celles qui ne le sont pas (endogène : psychose, psychopathie pouvant avoir des causes physiques ou non, démence comme la démence sénile), ainsi que les dépendances, en particulier la toxicomanie, l’alcoolisme et la pharmacodépendance ( Meier , CommFam, art. 390 CC, n. 9 ss ; Meier , Droit de la protection de l’adulte, n. 722 ; Guide pratique COPMA 2012, n. 5.9, p. 137). En outre, l’état de faiblesse doit entraîner un besoin de protection de la personne, soit la capacité totale ou partielle de la personne concernée d’assurer elle-même la sauvegarde de ses intérêts et de désigner un représentant pour gérer ses affaires (par un mandat ou une procuration). Bien que la loi ne le précise pas, il peut s’agir d’intérêts patrimoniaux et/ou personnels ( Meier/Lukic , Introduction au nouveau droit de protection de l’adulte, 2011, p. 193, n. 405 ; Guide pratique COPMA, 2012 n. 5.10, p. 138). ab) Une curatelle de représentation peut être instituée lorsque la personne qui a besoin d’aide ne peut accomplir certains actes et doit de ce fait être représentée (art. 394 al. 1 CC). La curatelle de représentation porte sur les tâches ou cercle de tâches confiés au curateur (art. 391 al. 1 CC, Meier in CommFam, op. cit., n. 27 ad art. 394 CC). La curatelle de représentation porte notamment sur le règlement des questions liées au logement, aux soins médicaux, aux relations sociales et aux démarches administratives ( Meier , op. cit., n. 817). Elle est souvent associée à une gestion des biens de la personne concernée (art. 395 CC). Cette curatelle de gestion (art. 395 CC) constitue une forme spéciale de curatelle de représentation et non une mesure de protection distincte ( Meier in CommFam, op. cit., n. 3 et 5 ss ad art. 395 CC). Elle a pour objectif la protection du patrimoine de la personne concernée ( ibid . n. 1 ad art. 395 CC). L’importance des revenus ou de la fortune de la personne concernée n’est pas le critère déterminant pour prononcer une curatelle de gestion : il faut que la personne soit dans l’incapacité de gérer son patrimoine, quelles qu’en soient la composition et l’ampleur. La mesure peut ainsi porter uniquement sur la gestion de revenus peu importants (salaire, rente AVS/AI, prestations complémentaires) si la protection de la personne concernée l’exige ( Meier , op. cit., p. 411 n. 836). ac) A teneur de l’article 398 al. 1 CC, une curatelle de portée générale est instituée lorsqu’une personne a particulièrement besoin d’aide, en raison notamment d’une incapacité durable de discernement. Pour prononcer une telle mesure, une expertise est nécessaire dès lors que la personne concernée est privée de l’exercice des droits civils ( Steck , Commentaire du droit de la famille, n. 13 ad art. 446 CC ; ATF 140 III 97 , arrêt du TF du 01.12.2014 [5A_617/2014] ; Meier , Droit de protection de l’adulte, n. 892, p. 431). Selon la jurisprudence, le juge ne s’écarte en principe pas – sauf motif impératif – des conclusions d’une expertise médicale mise en œuvre par une autorité conformément aux règles de procédure, dans la mesure où la tâche de l’expert est précisément de mettre ses connaissances spéciales à la disposition de la justice afin de l’éclairer sur les aspects médicaux d’un état de fait donné. Peut constituer une raison de s’écarter d’une expertise le fait que celle-ci contient des contradictions ou lorsque d’autres spécialises émettent des opinions contraires aptes à mettre sérieusement en doute la pertinence des déductions de l’expert. Le simple fait qu’un avis médical divergent a été produit par la personne concernée – même émanant d’un spécialiste – ne suffit simplement pas à lui seul à remettre en cause la valeur probante d’un rapport médical. Le juge qui entend s’écarter d’une expertise doit faire valoir des raisons sérieuses et motiver sa décision à cet égard. Il doit apprécier la situation en tenant compte de l’ensemble des autres preuves administrées ( ATF 133 II 384 cons. 4.2 ; arrêt du TF du 07.02.2018 [5A_794/2017] ). ad) Lorsqu’elle est envisage de prononcer une mesure de curatelle, l’autorité de protection doit respecter les principes de subsidiarité et de proportionnalité inscrits dans la loi (art. 389 CC) . ae) L’article 400 al. 1 CC prévoit que l’autorité de protection de l’adulte nomme curateur une personne physique qui possède les aptitudes et les connaissances nécessaires à l’accomplissement des tâches qui lui seront confiées, qui dispose du temps nécessaire et qui les exécute en personne, et elle peut nommer plusieurs personnes si les circonstances particulières le justifient. b) En l’occurrence, comme l’a retenu l’APEA, X.________ a rencontré d’importants problèmes de santé qui ont nécessité son hospitalisation contre son gré au CNP de Préfargier du 6 décembre 2016 au 23 mars 2017. Il s’est par ailleurs trouvé en conflit ouvert avec ses bailleurs et voisins et a rencontré d’importantes difficultés dans la collaboration avec son curateur. Toutes ces circonstances sont amplement étayées par le dossier. L’expert a posé le diagnostic d’une schizophrénie paranoïde en rémission partielle, compliquant des relations en fort désaccord avec ses conseillers et des antécédents récents de ruptures thérapeutiques. Ce diagnostic s’appuie sur une anamnèse soigneuse et une évaluation clinique de l’expertisé complète et exempte de contradictions. L’expert ne méconnaît pas le fait que X.________ est en mesure de gérer son budget alimentaire et vestimentaire mensuellement ni que son état a connu une évolution favorable ; il relève toutefois des difficultés à anticiper les obstacles de la vie, à prévoir d’éventuelles dépenses supplémentaires, ainsi que le fait que les progrès relevés sont trop récents pour être considérés comme stables. Cela l’amène à recommander une curatelle de portée générale, avec un changement de curateur « pour franchir la muraille d’incommunicabilité que le vécu de persécution de X.________ a érigé entre lui et son actuel curateur ». Le dossier montre que la situation de X.________ s’est bien améliorée depuis sa sortie de Préfargier en mars 2017 et que, comme l’a relevé l’APEA, il dispose dorénavant d’un degré d’autonomie relativement élevé et qu’il n’a pas un besoin d’assistance très conséquent au jour le jour, à tout le moins lorsque sa maladie est stabilisée. On voit néanmoins que X.________ a sollicité l’aide – insuffisante à ses yeux – de son curateur encore à la fin de l’hiver et au printemps 2018 pour régler différents problèmes en relation avec son appartement, dont il a pu finalement signer le bail. L’ensemble de ces éléments amène la CMPEA à partager la conclusion de l’APEA selon laquelle, au regard des principes de la subsidiarité et de la proportionnalité, l’intervention d’un curateur demeure indispensable, si ce n’est pour suivre X.________ au quotidien, mais au moins pour assurer le rôle d’une « personne ressource » et d’interlocuteur avec des tiers lorsque c’est nécessaire. Le prononcé d’une curatelle de portée générale – même préconisé par l’expert – n’est cependant pas nécessaire ou opportun. Le recourant n’adresse aucun grief quant au choix du nouveau curateur qui a été désigné pour l’assister. F.________ est assistant social à l’OPA et paraît disposer des capacités professionnelles et personnelles nécessaires à exercer la fonction. Au vu de ce qui précède, ce n’est pas sur la base d'une constatation erronée des faits ou d’une mauvaise application du droit que l’APEA a considéré que l’institution d’une curatelle de représentation et de gestion trouvait sa justification pour assurer la sauvegarde des intérêts du recourant. Le recours doit être rejeté de ce chef.</w:t>
      </w:r>
    </w:p>
    <w:p>
      <w:r>
        <w:rPr>
          <w:b/>
        </w:rPr>
        <w:t>E. 7</w:t>
      </w:r>
    </w:p>
    <w:p>
      <w:r>
        <w:t>La CMPEA n'a pas à se saisir d'éventuelles erreurs de droit que l'APEA ou son président auraient commises avant la décision dont est recours, les décisions préalables ayant acquis force de chose jugée. De même le recourant n'a plus intérêt à se plaindre devant la CMPEA d'anciens retards dans la procédure (cela ne touche pas son droit à l'avenir de se plaindre si nécessaire de nouveaux retards injustifiés dont il s'estimerait victime en saisissant la CMPEA d'un recours pour déni de justice).</w:t>
      </w:r>
    </w:p>
    <w:p>
      <w:r>
        <w:rPr>
          <w:b/>
        </w:rPr>
        <w:t>E. 8</w:t>
      </w:r>
    </w:p>
    <w:p>
      <w:r>
        <w:t>La décision attaquée doit ainsi être annulée en ce qu’elle approuve le rapport et les comptes présentés par A.________. Elle doit être confirmée en ce qu’elle le relève de ses fonctions et désigne en remplacement F.________ de même qu’en ce qui concerne la description des tâches du curateur. Vu les circonstances,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