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CMPEA.2013.55 vom 10. Februar 2014</w:t>
      </w:r>
    </w:p>
    <w:p>
      <w:r>
        <w:t>NE Tribunal cantonal, 2014-02-10, FR</w:t>
      </w:r>
    </w:p>
    <w:p>
      <w:r>
        <w:rPr>
          <w:b/>
        </w:rPr>
        <w:t xml:space="preserve">Quelle: </w:t>
      </w:r>
      <w:r>
        <w:t>https://mcp.opencaselaw.ch/entscheid/ne_gerichte_CMPEA.2013.55</w:t>
      </w:r>
    </w:p>
    <w:p>
      <w:r>
        <w:t>FR: NE_GERICHTE CMPEA.2013.55 du 10 février 2014</w:t>
      </w:r>
    </w:p>
    <w:p>
      <w:r>
        <w:t>IT: NE_GERICHTE CMPEA.2013.55 del 10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dans le délai de 10 jours à compter de la notification de l'ordonnance de mesures provisionnelles, le recours est recevable (art. 445 CC, par renvoi de l'article 314 CC).</w:t>
      </w:r>
    </w:p>
    <w:p>
      <w:r>
        <w:rPr>
          <w:b/>
        </w:rPr>
        <w:t>E. 2</w:t>
      </w:r>
    </w:p>
    <w:p>
      <w:r>
        <w:t>a) Selon l'article</w:t>
      </w:r>
    </w:p>
    <w:p>
      <w:r>
        <w:rPr>
          <w:b/>
        </w:rPr>
        <w:t>E. 7</w:t>
      </w:r>
    </w:p>
    <w:p>
      <w:r>
        <w:t>Pour ces motifs, le recours doit être rejeté et l’ordonnance de mesures provisionnelles du 11 décembre 2013 confirmée par substitution de motifs. Les frais sont mis à charge de la recourante qui succombe et elle versera une indemnité de dépens à B. (art. 118 al. 3, 122 al. 1 let. d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