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CHAC.2009.60 vom 28. Mai 2009</w:t>
      </w:r>
    </w:p>
    <w:p>
      <w:r>
        <w:t>NE Tribunal cantonal, 2009-05-28, FR</w:t>
      </w:r>
    </w:p>
    <w:p>
      <w:r>
        <w:rPr>
          <w:b/>
        </w:rPr>
        <w:t xml:space="preserve">Quelle: </w:t>
      </w:r>
      <w:r>
        <w:t>https://mcp.opencaselaw.ch/entscheid/ne_gerichte_CHAC.2009.60_d20090528</w:t>
      </w:r>
    </w:p>
    <w:p>
      <w:r>
        <w:t>FR: NE_GERICHTE CHAC.2009.60 du 28 mai 2009</w:t>
      </w:r>
    </w:p>
    <w:p>
      <w:r>
        <w:t>IT: NE_GERICHTE CHAC.2009.60 del 28 maggio 2009</w:t>
      </w:r>
    </w:p>
    <w:p>
      <w:pPr>
        <w:pStyle w:val="Heading2"/>
      </w:pPr>
      <w:r>
        <w:t>Regeste</w:t>
      </w:r>
    </w:p>
    <w:p>
      <w:r>
        <w:t>Atteinte à l'honneur, motifs justificatifs. Relation des déclarations d'un témoin dans un jugement.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Délits contre l'honneur.</w:t>
      </w:r>
    </w:p>
    <w:p>
      <w:r>
        <w:t>Diffamation</w:t>
      </w:r>
    </w:p>
    <w:p>
      <w:r>
        <w:t>1.  Celui qui, en s'adressant à un tiers, aura accusé une personne ou jeté sur elle le soupçon de tenir une conduite contraire à l'honneur, ou de tout autre fait propre à porter atteinte à sa considération,</w:t>
      </w:r>
    </w:p>
    <w:p>
      <w:r>
        <w:t>celui qui aura propagé une telle accusation ou un tel soupçon,</w:t>
      </w:r>
    </w:p>
    <w:p>
      <w:r>
        <w:t>sera, sur plainte, puni d'une peine pécuniaire de 180 jours-amende au plus2.</w:t>
      </w:r>
    </w:p>
    <w:p>
      <w:r>
        <w:t>2.  L'inculpé n'encourra aucune peine s'il prouve que les allégations qu'il a articulées ou propagées sont conformes à la vérité ou qu'il avait des raisons sérieuses de les tenir de bonne foi pour vraies.</w:t>
      </w:r>
    </w:p>
    <w:p>
      <w:r>
        <w:t>3.  L'inculpé ne sera pas admis à faire ces preuves et il sera punissable si ses allégations ont été articulées ou propagées sans égard à l'intérêt public ou sans autre motif suffisant, principalement dans le dessein de dire du mal d'autrui, notamment lorsqu'elles ont trait à la vie privée ou à la vie de famille.</w:t>
      </w:r>
    </w:p>
    <w:p>
      <w:r>
        <w:t>4.  Si l'auteur reconnaît la fausseté de ses allégations et les rétracte, le juge pourra atténuer la peine ou exempter le délinquant de toute peine.</w:t>
      </w:r>
    </w:p>
    <w:p>
      <w:r>
        <w:t>5.  Si l'inculpé n'a pas fait la preuve de la vérité de ses allégations ou si elles étaient contraires à la vérité ou si l'inculpé les a rétractées, le juge le constatera dans le jugement ou dans un autre acte écrit.</w:t>
      </w:r>
    </w:p>
    <w:p>
      <w:r>
        <w:t>1Nouvelle teneur selon le ch. I de la LF du 5 oct. 1950, en vigueur depuis le 5 janv. 1951 (RO19511 16; FF1949I 1233).2Nouvelle expression selon le ch. II 1 al. 13 de la LF du 13 déc. 2002, en vigueur depuis le 1erjanv. 2007 (RO200634593535;FF19991787). Il a été tenu compte de cette modification dans tout le présent Livre.</w:t>
      </w:r>
    </w:p>
    <w:p>
      <w:r>
        <w:rPr>
          <w:b/>
        </w:rPr>
        <w:t>E. 3</w:t>
      </w:r>
    </w:p>
    <w:p>
      <w:r>
        <w:t>Actes licites et culpabilité.</w:t>
      </w:r>
    </w:p>
    <w:p>
      <w:r>
        <w:t>Actes autorisés par la loi</w:t>
      </w:r>
    </w:p>
    <w:p>
      <w:r>
        <w:t>Quiconque agit comme la loi l'ordonne ou l'autorise se comporte de manière licite, même si l'acte est punissable en vertu du présent code ou d'une autre loi.</w:t>
      </w:r>
    </w:p>
    <w:p>
      <w:r>
        <w:rPr>
          <w:b/>
        </w:rPr>
        <w:t>E. 5</w:t>
      </w:r>
    </w:p>
    <w:p>
      <w:r>
        <w:t>Mal fondé, le recours doit être rejeté à la charge du recourant.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