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CHAC.1998.3543 vom 28. August 1998</w:t>
      </w:r>
    </w:p>
    <w:p>
      <w:r>
        <w:t>NE Tribunal cantonal, 1998-08-28, FR</w:t>
      </w:r>
    </w:p>
    <w:p>
      <w:r>
        <w:rPr>
          <w:b/>
        </w:rPr>
        <w:t xml:space="preserve">Quelle: </w:t>
      </w:r>
      <w:r>
        <w:t>https://mcp.opencaselaw.ch/entscheid/ne_gerichte_CHAC.1998.3543_d19980828</w:t>
      </w:r>
    </w:p>
    <w:p>
      <w:r>
        <w:t>FR: NE_GERICHTE CHAC.1998.3543 du 28 août 1998</w:t>
      </w:r>
    </w:p>
    <w:p>
      <w:r>
        <w:t>IT: NE_GERICHTE CHAC.1998.3543 del 28 agosto 1998</w:t>
      </w:r>
    </w:p>
    <w:p>
      <w:pPr>
        <w:pStyle w:val="Heading2"/>
      </w:pPr>
      <w:r>
        <w:t>Regeste</w:t>
      </w:r>
    </w:p>
    <w:p>
      <w:r>
        <w:t>Droit de la victime de refuser de déposer sur des faits qui concerne sa sphère intime.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qu'en refusant d'ordonner une expertise de la plaignante, le juge d'instruction s'est conformé à l'arrêt du 26 mars 1998 de la Chambre d'accusation, de sorte que sur ce point sa décision échappe à la critique, qu'en effet, comme relevé dans cet arrêt et confirmé par la plaignante depuis lors, cette dernière refuse de se soumettre à une expertise psychiatrique, que ce refus entre dans les droits des victimes d'infractions au sens de l'article</w:t>
      </w:r>
    </w:p>
    <w:p>
      <w:r>
        <w:rPr>
          <w:b/>
        </w:rPr>
        <w:t>E. 7</w:t>
      </w:r>
    </w:p>
    <w:p>
      <w:r>
        <w:t>al. 2 LAVI ), elle est nécessairement aussi en droit de ne pas répondre au médecin qui pratiquerait cet examen, (...).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