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CDP.2025.54 vom 14. Oktober 2025</w:t>
      </w:r>
    </w:p>
    <w:p>
      <w:r>
        <w:t>NE Tribunal cantonal, 2025-10-14, FR</w:t>
      </w:r>
    </w:p>
    <w:p>
      <w:r>
        <w:rPr>
          <w:b/>
        </w:rPr>
        <w:t xml:space="preserve">Quelle: </w:t>
      </w:r>
      <w:r>
        <w:t>https://mcp.opencaselaw.ch/entscheid/ne_gerichte_CDP.2025.54</w:t>
      </w:r>
    </w:p>
    <w:p>
      <w:r>
        <w:t>FR: NE_GERICHTE CDP.2025.54 du 14 octobre 2025</w:t>
      </w:r>
    </w:p>
    <w:p>
      <w:r>
        <w:t>IT: NE_GERICHTE CDP.2025.54 del 14 ottobre 2025</w:t>
      </w:r>
    </w:p>
    <w:p>
      <w:pPr>
        <w:pStyle w:val="Heading2"/>
      </w:pPr>
      <w:r>
        <w:t>Erwägungen</w:t>
      </w:r>
    </w:p>
    <w:p>
      <w:r>
        <w:rPr>
          <w:b/>
        </w:rPr>
        <w:t>E. 1</w:t>
      </w:r>
    </w:p>
    <w:p>
      <w:r>
        <w:t>CO prévoit que les associés exercent collectivement la gestion de la société. Les statuts peuvent régler la gestion de manière différente, notamment la désignation des gérants. Ces derniers sont compétents pour toutes les affaires qui ne sont pas attribuées à lassemblée des associés par la loi ou les statuts (art. 810 al. 1 CO). Ils ont notamment pour attributions intransmissibles et inaliénables celles dexercer la haute direction de la société et détablir les instructions nécessaires, de fixer les principes de la comptabilité et du contrôle financier ainsi que le plan financier, pour autant que celui-ci soit nécessaire à la gestion de la société ; ils doivent également exercer la surveillance sur les personnes chargées de parties de la gestion pour sassurer notamment quelles observent la loi, les statuts, les règlements et les instructions données (art. 810 al. 2 ch. 1, 3 et 4 CO). Ces attributions imposent en particulier à lassocié gérant dune société à responsabilité limitée de veiller, comme ladministrateur dune société anonyme, à ce que les cotisations sociales soient régulièrement payées conformément à ce que prévoit larticle 14 al. 1 LAVS, sans quoi sa responsabilité pour négligence grave est en principe engagée (ATF 126 V 237). Cest ainsi quil a lobligation de se faire renseigner périodiquement sur la marche des affaires, ce qui inclut notamment la surveillance du paiement des cotisations sociales paritaires ; il est tenu, en corollaire, de prendre les mesures appropriées lorsquil a connaissance ou aurait dû avoir connaissance dirrégularités commises dans la gestion de la société (ATF 114 V 219 cons. 4a p. 223 et les références ; cf. également arrêt du TF du 19.01.2016[9C_657/2015]cons. 5.3 et du 18.11.2009[9C_152/2009]cons. 6.1, in : SVR 2010 AHV n° 4 p. 11). En bref, les gérants dune société à responsabilité limitée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(arrêts du TF du 13.01.2020[9C_546/2019]et du 03.02.2012[9C_344/2011]cons. 3.2).</w:t>
      </w:r>
    </w:p>
    <w:p>
      <w:r>
        <w:t>3.La responsabilité dun membre du conseil dadministration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 4a et les références citées). En dautres termes, un administrateur ne peut être tenu pour responsable que du dommage résultant du non-paiement de cotisations qui sont venues à échéance et auraient dû être versées entre le jour de son entrée effective au conseil dadministration et celui où il a quitté effectivement ses fonctions, soit pendant la durée où il a exercé une influence sur la marche des affaires. Demeurent réservés les cas où le dommage résulte dactes qui ne déploient leurs effets quaprès le départ du conseil dadministration (arrêt du TF du 30.05.2014[9C_713/2013]cons. 4.3.2 et les références citées).</w:t>
      </w:r>
    </w:p>
    <w:p>
      <w:r>
        <w:t>Cela étant, il peut arriver que le membre dun conseil dadministration assume également la responsabilité des charges dassurances sociales qui sont restées impayées par lentreprise et qui portent sur des années antérieures. Il est en effet de son devoir de veiller à ce que soient payées non seulement les cotisations en cours, mais également les cotisations échues dues depuis des années. Il ny a pas de raison de faire la différence entre ces deux sortes dobligations : il peut y avoir, dans les deux cas, un lien de cause à effet entre linaction de lorgane et le non-paiement des cotisations dues pour la période dactivité du conseil dadministration et celles dues pour la période antérieure (cf. RCC 1992 p. 269). Le membre dun conseil dadministration qui ne se renseigne pas sur lexistence darriérés de cotisations et qui nentreprend rien eu égard à lacquittement de tels arriérés commet une négligence grave (SVR 2003 AVS no5 13). Il faut toutefois réserver le cas où, au moment de son entrée en fonction, la situation financière de la société était obérée au point que larriéré de cotisation ne pouvait plus être recouvré. Dans ce cas, il ne répond que de laccroissement du dommage résultant de la poursuite des activités de la société jusquau prononcé de la faillite, les tentatives de redressement ayant échoué (Valterio, op. cit., § 126 n. 2404 et 2412 et les références citées). Il ny a pas lieu, en effet, de retenir un lien de causalité entre les cotisations impayées, pour des salaires versés avant son entrée dans le conseil dadministration, et le dommage subi par la caisse. Les intérêts moratoires pour larriéré de cotisations, courus depuis lentrée dans le conseil dadministration, sont cependant inclus dans le dommage (SVR 2005 AHV n° 15 p. 48 ; ATF 119 V 401 cons. 4).</w:t>
      </w:r>
    </w:p>
    <w:p>
      <w:r>
        <w:t>4.Le 1erjanvier 2020 est entrée en vigueur la révision du droit de la prescription de la loi fédérale du 30 mars 1911, complétant le Code civil suisse, entraînant la modification de larticle 52 al. 3 LAVS. Cet alinéa prévoit désormais que laction en réparation du dommage se prescrit conformément aux dispositions du code des obligations sur les actes illicites.</w:t>
      </w:r>
    </w:p>
    <w:p>
      <w:r>
        <w:t>Selon larticle 60 CO, dans sa teneur en vigueur à compter du 1erjanvier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w:t>
      </w:r>
    </w:p>
    <w:p>
      <w:r>
        <w:t>5.À titre liminaire, il convient dexaminer si la prétention de la caisse est prescrite.</w:t>
      </w:r>
    </w:p>
    <w:p>
      <w:r>
        <w:t>a) Jusquau 31 décembre 2019, larticle 52 al. 3 aLAVS prévoyait que le droit à la réparation se prescrivait deux ans après que la caisse de compensation compétente a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larticle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articles 130 ss CO (Message du Conseil fédéral relatif à la modification du code des obligations [droit de la prescription] du 29.11.2013, FF 2014 221, p. 260).</w:t>
      </w:r>
    </w:p>
    <w:p>
      <w:r>
        <w:t>b) Larticle 49 Titre final du Code civil suisse règle de manière générale les questions de droit transitoire en matière de prescription et a été réécrit lors de la révision du droit de la prescription (Message précité, FF 2014 221, pp. 230 et 231). Depuis le 1erjanvier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w:t>
      </w:r>
    </w:p>
    <w:p>
      <w:r>
        <w:t>c) 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une créance déjà prescrite demeure prescrite (Message précité, FF 2014 221, p. 231). Par ailleurs, même si la prétention bénéficie dun nouveau délai plus long de prescription, cela ninfluence pas le point de départ de la prescription, cest-à-dire que le délai ne recommence pas à courir au moment de lentrée en vigueur du nouveau droit (Message précité, FF 2014 221, p. 254).</w:t>
      </w:r>
    </w:p>
    <w:p>
      <w:r>
        <w:t>d) Les délais prévus par les articles 52 al. 3 aLAVS et 60 al. 1 CO sont des délais de prescription, de sorte qu'ils ne sont pas sauvegardés une fois pour toutes avec la décision relative aux dommages-intérêts ; le droit à la réparation du dommage au sens de l'article 52 al. 1 LAVS peut donc aussi se prescrire durant la procédure d'opposition (ATF 135 V 74 cons. 4.2).</w:t>
      </w:r>
    </w:p>
    <w:p>
      <w:r>
        <w:t>e) Selon larticle 52 al. 3 aLAVS, le délai de prescription relatif a commencé à courir dès la connaissance du dommage ; le délai de prescription absolu a débuté, en revanche, dès la survenance du dommage (ATF 129 V 193 cons. 2.2).</w:t>
      </w:r>
    </w:p>
    <w:p>
      <w:r>
        <w:t>f) Le dommage survient dès que l'on doit admettre que les cotisations dues ne peuvent plus être recouvrées, pour des motifs juridiques ou de fait (ATF 129 V 193 cons. 2.2 ; 126 V 443 cons. 3a). Un dommage se produit notamment en cas de faillite, en raison de l'impossibilité pour la caisse de récupérer les cotisations dans la procédure ordinaire de recouvrement. Le dommage subi par la caisse est réputé être survenu le jour de la faillite ; le jour de la survenance du dommage marque celui de la naissance de la créance en réparation et la date à partir de laquelle court le délai absolu (ATF 129 V 193 cons. 2.2 et la référence).</w:t>
      </w:r>
    </w:p>
    <w:p>
      <w:r>
        <w:t>Le dommage survient également lors de la délivrance dun acte de défaut de biens (Directives sur la perception des cotisations dans l'AVS, AI et APG établies par l'Office fédéral des assurances sociales [ci-après : DP], no8020). La délivrance d'un acte de défaut de biens établit l'insolvabilité du débiteur. Cela ne signifie toutefois pas uniquement que le débiteur ne peut pas s'acquitter de la créance qui a fait l'objet de l'acte de défaut de biens mais suppose aussi qu'il n'a pas les moyens de payer les autres créances ouvertes qui n'ont fait l'objet d'aucune poursuite. Le créancier peut donc agir contre les organes du débiteur afin d'obtenir le paiement de tout ce que celui-ci lui doit, soit non seulement le montant constaté par l'acte de défaut de biens mais également l'entier des créances ouvertes (arrêt du TF du 16.12.2021[9C_115/2021]cons. 3.1 et la référence citée).En présence d'un acte de défaut de biens provisoire, il peut y avoir lieu d'examiner, dès lors, si, et le cas échéant à quel moment, la caisse de compensation aurait dû raisonnablement constater qu'elle ne pouvait plus compter sur la possibilité d'obtenir la couverture au moins partielle de la créance de cotisations (ATF 113 V 256, et les références citées ; arrêt du TF du 09.06.2010 [9C_48/2010] et les références citées ;DP no8055 et la référence citée ; arrêt duTF du 19.08.2003[H. 142/03]; ATF 116 V 76 ;Marchand/Hari, Précis de droit des poursuites, 2022, no 349, p. 102).</w:t>
      </w:r>
    </w:p>
    <w:p>
      <w:r>
        <w:t>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 2.1).</w:t>
      </w:r>
    </w:p>
    <w:p>
      <w:r>
        <w:t>g) Sagissant des actes interruptifs de prescription, il résulte de la jurisprudence rendue à propos de larticle 52 al. 3 aLAVS les éléments qui suivent. Les délais de prescription sont interrompus par les actes énumérés à larticle 135 CO (applicable par analogie) ainsi que par tous les actes adéquats par lesquels la créance en dommages-intérêts est invoquée de manière appropriée à lencontre du débiteur (arrêts du TF du 30.03.2021[9C_641/2020]cons. 5.3 et la référence ; du 19.10.2020[9C_400/2020]cons. 3.2.1 et la référence citée). Tant la décision que lopposition interrompent les délais de prescription (ATF 135 V 74 cons. 4.2.2).</w:t>
      </w:r>
    </w:p>
    <w:p>
      <w:r>
        <w:t>La prescription est notamment interrompue par une action ou une exception devant un tribunal (art. 135 ch. 2 CO par analogie) et recommence à courir lorsque le litige devant l'instance saisie est clos (art. 138 al. 1 CO ; ATF 147 III 419 cons. 5.3.2 ; arrêt du TF du 21.06.2018[9C_906/2017]cons. 1.2 ; sur l'application par analogie des dispositions générales selon les art. 135 ss CO, cf. ATF 141 V 487 cons. 2.3 ; arrêt de la chambre des assurances sociales de la Cour de justice du canton de Genève du 04.07.2023[ATAS/548/2023]cons. 10.6).</w:t>
      </w:r>
    </w:p>
    <w:p>
      <w:r>
        <w:t>Les actes concernant la créance de cotisations vis-à-vis de l'employeur n'engendrent aucun effet interruptif de délai (ATF 141 V 487 cons. 4 et les références).</w:t>
      </w:r>
    </w:p>
    <w:p>
      <w:r>
        <w:t>6.En lespèce, sagissant des cotisations ici litigieuses, lintimées'est vu délivrer, dans les poursuites contre B.________ Sàrl, un procès-verbal de saisie tenant lieu dacte de défaut de biens provisoire pour les créances de cotisations périodiques afférentes aux mois de mai à août 2018 totalisant un montant de 35'788.35 francs. Ce procès-verbal de saisie expédié le 18 juin 2019, peu avant la mise en faillite (26.08.2019), précisait que loffice des poursuites, lors de lexécution de la saisie, avait estimé la valeur des biens à 590 francs et que la saisie avait porté sur les biens mobiliers, créances ou droits. Le procès-verbal ne mentionne aucun bien immobilier ni dautres créances, comptes bancaires ou liquidités saisissables. Il ressort également de ce document quhormis les quatre poursuites intentées par lintimée la série comprenait également celles deux autres créanciers (lEtat de Neuchâtel et la Caisse nationale suisse d'assurance en cas d'accidents) dont les créances dépassaient les 45'000 francs. Ainsi, compte tenu de la faible valeur des biens telle quelle ressort du procès-verbal de saisie et de la faillite prononcée moins de deux mois après le procès-verbal de saisie, la caisse de compensation, même en cas de dépôt dune réquisition de vente, aurait raisonnablement pu constater quelle ne pouvait plus compter, en tant que créancier de la deuxième classe, sur la possibilité dobtenir la couverture au moins partielle de la créance à partir du 26 août 2019. Les délais relatifs et absolus de deux, respectivement cinq ans (selon lancien droit) n'étaient pas échus lorsque le nouveau droit de la prescription est entré en vigueur le 1erjanvier 2020. Par conséquent, le nouveau délai de prescription plus long trouve application. La décision rendue à lencontre du recourant en date du 2 mai 2023, la été plus de trois ans après que la caisse a eu connaissance de son dommage et la prescription était ainsi atteinte. Laction en réparation du dommage étant prescrite, il ny a pas lieu dexaminer les autres conditions de la responsabilité de larticle 52 LAVS.</w:t>
      </w:r>
    </w:p>
    <w:p>
      <w:r>
        <w:t>7.Le recours se révèle ainsi fondé et doit être admis, ce qui conduit à lannulation de la décision entreprise.Il n'est pas perçu de frais, la loi spéciale n'en prévoyant pas (art. 61 let. fbisLPGA). Le recourant a droit à des dépens (art. 61 let. g LPGA). Me C.________ a déposé un mémoire dhonoraires se montant à 5'285 francs (17 heures et 37 minutes à 300 francs), montant auquel sajoutent des frais de 546.50 francs (débours 10 % par CHF 528.50 et frais par CHF 18) et la TVA par 472.35 francs. Lactivité alléguée peut être retenue, en particulier parce que son intervention ne sest pas limitée au dépôt du recours, mais sest poursuivie dans le cadre de lexamen des pièces produites par loffice des poursuites. Les 18 francs de frais mentionnés sous la rubrique « frais soumis à la TVA » doivent par contre être retranchés, le mandataire prétendant déjà à loctroi de frais forfaitaires à hauteur de 10 %. Lindemnité de dépens est dès lors fixée à 6'284.40 francs, débours et TVA inclus.</w:t>
      </w:r>
    </w:p>
    <w:p>
      <w:r>
        <w:t>Par ces motifs,la Cour de droit public</w:t>
      </w:r>
    </w:p>
    <w:p>
      <w:r>
        <w:t>1.Admet le recours.</w:t>
      </w:r>
    </w:p>
    <w:p>
      <w:r>
        <w:t>2.Annule la décision attaquée ainsi que la décision du 2 mai 2023</w:t>
      </w:r>
    </w:p>
    <w:p>
      <w:r>
        <w:t>3.Statue sans frais.</w:t>
      </w:r>
    </w:p>
    <w:p>
      <w:r>
        <w:t>4.Alloue au recourant une indemnité de dépens de 6'284.40 francs à la charge de lintimée.</w:t>
      </w:r>
    </w:p>
    <w:p>
      <w:r>
        <w:t>Neuchâtel, le 14 octobre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