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CDP.2025.5 vom 7. Januar 2026</w:t>
      </w:r>
    </w:p>
    <w:p>
      <w:r>
        <w:t>NE Tribunal cantonal, 2026-01-07, FR</w:t>
      </w:r>
    </w:p>
    <w:p>
      <w:r>
        <w:rPr>
          <w:b/>
        </w:rPr>
        <w:t xml:space="preserve">Quelle: </w:t>
      </w:r>
      <w:r>
        <w:t>https://mcp.opencaselaw.ch/entscheid/ne_gerichte_CDP.2025.5</w:t>
      </w:r>
    </w:p>
    <w:p>
      <w:r>
        <w:t>FR: NE_GERICHTE CDP.2025.5 du 7 janvier 2026</w:t>
      </w:r>
    </w:p>
    <w:p>
      <w:r>
        <w:t>IT: NE_GERICHTE CDP.2025.5 del 7 gennaio 2026</w:t>
      </w:r>
    </w:p>
    <w:p>
      <w:pPr>
        <w:pStyle w:val="Heading2"/>
      </w:pPr>
      <w:r>
        <w:t>Erwägungen</w:t>
      </w:r>
    </w:p>
    <w:p>
      <w:r>
        <w:rPr>
          <w:b/>
        </w:rPr>
        <w:t>E. 45</w:t>
      </w:r>
    </w:p>
    <w:p>
      <w:r>
        <w:t>min, mouvements de torsion du tronc possibles comme les escaliers mais à éviter). Il a également précisé que les tâches ménagères pouvaient être réalisées, mais de manière fractionnée (ce qui contredit le médecin du SMR selon lequel aucun retentissement dans les activités de la vie courante nétait rapporté). Dans son rapport du 22 septembre 2024, le Dr D.________ a entre autres mentionné le diagnostic incapacitant darthrose du bord médial de linterligne de Chopart bilatérale prédominant à droite. Quant aux limitations fonctionnelles quil a citées (bras à 90° au maximum, port de charges limités à 5 kg, pas de marche dans les escaliers ni en terrain instable, pas déchelle, pas de buste penché en avant, en porte-à-faux et en rotation), elles ne sont pas superposables à celles qui figuraient sur le tableau dexigibilité rempli par le Dr B.________ le 26 août 2013 (ayant servi de base à lavis du SMR du 2 avril 2015). Dans ses avis des 4 octobre 2024 et 10 février 2025, le médecin du SMR na pas discuté ces nouveaux diagnostics, ni les nouvelles limitations fonctionnelles mises en avant par les médecins traitants.</w:t>
      </w:r>
    </w:p>
    <w:p>
      <w:r>
        <w:t>c/bb) Les symptômes de lassurée semblent en outre avoir évolué négativement depuis la dernière décision matérielle de lOAI, ce que le médecin du SMR na pas relevé. Alors que, dans le cadre linstruction de la première demande de rente, les plaintes et les douleurs concernaient le haut du corps, le Dr E.________a indiqué que, depuis le 2 septembre 2020, la situation était marquée par des douleurs majorées des membres inférieurs (jambes et pied) avec diminution de lendurance et des douleurs en cours dactivité. En ce sens, le Dr D.________ a rapporté que sa patiente présentait des douleurs des jambes, des cervicales, des mains, des bras et des épaules en augmentation depuis ces dernières années, puis des douleurs du pied droit (cou du pied).</w:t>
      </w:r>
    </w:p>
    <w:p>
      <w:r>
        <w:t>c/cc) Les discordances précitées sont de nature à jeter le doute sur lappréciation du SMR, à laquelle il nest pas possible dattribuer une pleine valeur probante. Ainsi, sa conclusion selon laquelle la capacité de travail de lassurée dans une activité adaptée demeure entière depuis le 3 juin 2013, lévaluation des médecins traitants à ce sujet (capacité de travail de 50 % dans une activité adaptée) constituant uniquement une appréciation différente dun même état de fait, ne saurait emporter la conviction de la Cour de céans.</w:t>
      </w:r>
    </w:p>
    <w:p>
      <w:r>
        <w:t>c/dd) Sagissant de la problématique douloureuse de lassurée, le diagnostic de fibromyalgie a été mentionné par le Dr B.________ tel que cela ressort dune note dentretien du 18 mars 2015. Ce diagnostic a ensuite été évoqué par le SMR dans son avis du 2 avril 2015, puis posé par les médecins duCentre de la douleur [a], qui ont retenu que les trois critères selon lACR étaient remplis. Un bilan neuropsychologique de lintéressée réalisé en 2021 a ensuite mis en évidence des capacités attentionnelles amoindries et une mémoire de travail affaiblie. Depuis lors, le diagnostic de fibromyalgie a été régulièrement repris ou évoqué par les médecins de lintéressée (rapport du Dr C.________ du 10.05.2022 ; rapport du Dr B.________ du 30.11.2022 ; compte-rendu du Dr E.________ du 15.02.2024). Dans son rapport du 18 janvier 2024, le Dr D.________ a expressément déclaré quil navait pas de diagnostic auto-inflammatoire à mettre en avant, mais plutôt des problèmes de type mécanique et des douleurs de fibromyalgie. Il na toutefois pas mentionné ce diagnostic dans son rapport ultérieur du 22 septembre 2024, sans que lOAI linterpelle à ce sujet. Si la problématique douloureuse de lassurée nest pas nouvelle et ne lempêchait pas de disposer dune pleine capacité de travail dans une activité adaptée (avis du SMR précité du 02.04.2015), une prise de position claire et actuelle sur la question de la fibromyalgie, avec ses répercussions éventuelles sur la capacité de travail de lintéressée, était attendue de la part du médecin rhumatologue traitant, afin que lOAI puisse le cas échéant compléter linstruction conformément à la jurisprudence citée supra.</w:t>
      </w:r>
    </w:p>
    <w:p>
      <w:r>
        <w:t>d)Il sensuit quela cause doit être renvoyée à lOAI pour instruction complémentaire et nouvelle décision, à charge pour celui-ci dordonner une expertise conforme aux réquisits jurisprudentiels (intégrant toutes les disciplines médicales concernées par les affections dont souffre la recourante), en vue dedéterminer si, depuis la décision du 20 septembre 2016, létat de santé de lintéressée sest aggravé dans une mesure susceptible de modifier son droit à une rente dinvalidité.</w:t>
      </w:r>
    </w:p>
    <w:p>
      <w:r>
        <w:t>5.a) Bien fondé, le recours doit être admis, la décision attaquée annulée et le dossier renvoyé à lOAI au sens de ce qui précède.</w:t>
      </w:r>
    </w:p>
    <w:p>
      <w:r>
        <w:t>b) Vu le sort de la cause, les frais de procédure doivent être mis à la charge de lOAI (art. 69 al. 1bisLAIet 61 let. fbisLPGA), ce qui rend sans objet la demande dassistance judiciaire. Il ny a pas lieu doctroyer des dépens en faveur de la recourante, qui nen réclame pas et ne prétend pas avoir engagé des frais pour la défense de sa cause.</w:t>
      </w:r>
    </w:p>
    <w:p>
      <w:r>
        <w:t>Par ces motifs,la Cour de droit public</w:t>
      </w:r>
    </w:p>
    <w:p>
      <w:r>
        <w:t>1.Admet le recours</w:t>
      </w:r>
    </w:p>
    <w:p>
      <w:r>
        <w:t>2.Annule la décision de lOAI du 29 novembre 2024 et lui renvoie la cause pour nouvelle décision au sens des considérants.</w:t>
      </w:r>
    </w:p>
    <w:p>
      <w:r>
        <w:t>3.Met à la charge de lOAI les frais de la présente procédure par 660 francs.</w:t>
      </w:r>
    </w:p>
    <w:p>
      <w:r>
        <w:t>4.Déclare sans objet la requête dassistance judiciaire.</w:t>
      </w:r>
    </w:p>
    <w:p>
      <w:r>
        <w:t>5.Nalloue pas de dépens.</w:t>
      </w:r>
    </w:p>
    <w:p>
      <w:r>
        <w:t>Neuchâtel, le 7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