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CDP.2025.354 vom 8. Dezember 2025</w:t>
      </w:r>
    </w:p>
    <w:p>
      <w:r>
        <w:t>NE Tribunal cantonal, 2025-12-08, FR</w:t>
      </w:r>
    </w:p>
    <w:p>
      <w:r>
        <w:rPr>
          <w:b/>
        </w:rPr>
        <w:t xml:space="preserve">Quelle: </w:t>
      </w:r>
      <w:r>
        <w:t>https://mcp.opencaselaw.ch/entscheid/ne_gerichte_CDP.2025.354</w:t>
      </w:r>
    </w:p>
    <w:p>
      <w:r>
        <w:t>FR: NE_GERICHTE CDP.2025.354 du 8 décembre 2025</w:t>
      </w:r>
    </w:p>
    <w:p>
      <w:r>
        <w:t>IT: NE_GERICHTE CDP.2025.354 del 8 dicembre 2025</w:t>
      </w:r>
    </w:p>
    <w:p>
      <w:pPr>
        <w:pStyle w:val="Heading2"/>
      </w:pPr>
      <w:r>
        <w:t>Erwägungen</w:t>
      </w:r>
    </w:p>
    <w:p>
      <w:r>
        <w:rPr>
          <w:b/>
        </w:rPr>
        <w:t>E. 1</w:t>
      </w:r>
    </w:p>
    <w:p>
      <w:r>
        <w:t>Interjeté dans les formes et délai légaux, le recours est recevable.</w:t>
      </w:r>
    </w:p>
    <w:p>
      <w:r>
        <w:rPr>
          <w:b/>
        </w:rPr>
        <w:t>E. 2</w:t>
      </w:r>
    </w:p>
    <w:p>
      <w:r>
        <w:t>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(arrêt du TF du 20.09.2018 [8C_502/2018] cons. 4.4). Ainsi, la motivation de l'arrêt de renvoi détermine dans quelle mesure l'autorité précédente est liée à la première décision, prononcé de renvoi qui fixe aussi bien le cadre du nouvel état de fait que celui de la nouvelle motivation juridique (cf. ATF 148 I 127 cons. 3.1). L'autorité précédente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TF du 03.01.2012 [9C_177/2023] cons. 4.2). b) Par arrêt du 27 juin 2025, la Cour de céans a renvoyé la cause au conseil communal pour que soit concrètement examinée la possibilité d’accueillir le recourant dans une structure d’accueil parascolaire communale compte tenu de ses besoins spécifiques. Dans sa motivation, elle a notamment rappelé que l’un des buts poursuivis tant par la LAE que par la LIncA est d’inclure, dans toute la mesure du possible, les enfants à besoins spécifiques, respectivement les enfants vivant avec un handicap, dans les structures d’accueil extrafamilial ordinaires, et non pas de créer pour eux des structures d’accueil extrafamilial spécialisées. Dans ses observations sur le recours, l’intimé précise que le dossier de la cause est le même que celui qu’il avait déposé dans la procédure précédente (CDP.2025.160), "complété des pièces postérieures" à l’arrêt de renvoi du 27 juin 2025, "la numérotation étant poursuivie". De fait, les nouvelles pièces du dossier, qui précèdent la décision attaquée du 4 septembre 2025, sont au nombre de quatre. Il s’agit : d’un courrier du conseil communal du 10 juillet 2025 et ses annexes, qui informe les parents du recourant que les conditions d’un refus d’admission de leur fils dans une structure parascolaire communale sont réunies et qu’il envisage de statuer en ce sens ; des déterminations des parents du recourant du 29 juillet 2025 qui maintiennent leur demande ; d’un courrier de l’intimé du 4 août 2025 transmettant aux parents de A.________ un tableau récapitulatif des structures d’accueil parascolaires de B.________ comprenant certaines informations pour chaque structure (nombre d’enfants accueillis, ressources et compétences en personnel…) ; et des déterminations complémentaires des parents de l’intéressé qui persistent dans leurs conclusions. Aucun de ces documents n’établit que l’intimé se serait conformé aux instructions de l’arrêt de renvoi et aurait, ainsi qu’il y était tenu, procédé à un examen sérieux, objectif et concret de la demande du recourant. Si une séance a réuni, le 8 juillet 2025, ses parents, d’une part, la directrice des structures d’accueil parascolaires communales, la cheffe du service de la jeunesse dont dépendent ces structures, la conseillère communale et cheffe du dicastère dont dépend ce service, ainsi qu’un membre de l’UAEJ, d’autre part, son objectif visait bien plutôt à trouver, respectivement à proposer des solutions aux parents de l’intéressé, voire à les convaincre qu’une autre solution que les structures parascolaires communales serait souhaitable. Certes, le procès-verbal tenu à cette occasion indique que le service de la jeunesse "comme il l’avait fait avant de prononcer sa décision, a réévalué minutieusement la situation en collaboration avec le service de protection de l’adulte et de la jeunesse (SPAJ)" et il s’achève par l’information que le "Conseil communal va réétudier cette semaine la demande ainsi que la décision conformément à l’arrêt de la Cour et en se basant sur les expertises du secteur parascolaire et du SPAJ" Or, pas plus aujourd’hui, qu’auparavant d’ailleurs, on ne trouve au dossier une trace tangible de l’examen minutieux qui aurait été mené, respectivement qui aurait dû être mené conformément à la procédure rappelée dans l’arrêt de renvoi de la Cour de céans, ni d’ailleurs d’aucune expertise du "secteur parascolaire et du SPAJ". À noter que la circonstance que, finalement, A.________ n’allait plus intégrer l’école obligatoire régulière à la rentrée scolaire du mois d’août 2025 mais une institution spécialisée, ne dispensait pas l’intimé de respecter les injonctions de cet arrêt. Or, l’intimé s’est en réalité contenté d’apprécier une nouvelle fois la situation du recourant en l’état du même dossier – ou presque – que celui qui avait conduit la Cour de droit public à lui renvoyer la cause, ce qui appelle les considérations qui vont suivre, après un rappel du cadre légal.</w:t>
      </w:r>
    </w:p>
    <w:p>
      <w:r>
        <w:rPr>
          <w:b/>
        </w:rPr>
        <w:t>E. 3</w:t>
      </w:r>
    </w:p>
    <w:p>
      <w:r>
        <w:t>a) Aux termes de l’article 5 de la Convention du 13 décembre 2006 relative aux droits des personnes handicapées (CDPH), entrée en vigueur pour la Suisse le 15 mai 2014 (RS 0.109), les Etats parties reconnaissent que toutes les personnes sont égales devant la loi et en vertu de celle-ci et ont droit sans discrimination à l’égale protection et à l’égal bénéficie de la loi (al. 1). Ils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Etats parties prennent toutes les mesures appropriées pour faire en sorte que les aménagements raisonnables soient apportés (al. 3). En ce qui concerne les enfants handicapés, l’article 7 CDPH prévoit que les Etats parties prennent toutes mesures nécessaires pour garantir aux enfants handicapés la pleine jouissance de tous les droits de l’homme et de toutes les libertés fondamentales, sur la base de l’égalité avec les autres enfants (al. 1). Dans toutes les décisions qui concernent les enfants handicapés, l’intérêt supérieur de l’enfant doit être une considération primordiale (al. 2). Concernant l’autonomie de vie et l’inclusion dans la société, l’article 19 CDPH stipule que les Etats parties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(let. c) les services et équipements sociaux destinés à la population en générale soient mis à disposition des personnes handicapées, sur la base de l’égalité avec les autres, et soient adaptés à leurs besoins. Cet alinéa renvoie à une large gamme de services et d’équipements dont font indubitablement parties les structures d’accueil extrafamilial. La jurisprudence du Tribunal fédéral retient que l’interdiction de la discrimination contenue dans la CDPH est directement applicable (ATF 149 I 41 cons. 7, 145 I 142 cons. 5.1 ; arrêt du TF du 14.04.2021 [8C_633/2021] cons. 4.2 et 6.2.2). Cela implique, en lien avec l’interdiction de la discrimination en ce qui concerne le droit de vivre dans la société avec la même liberté de choix que les autres personnes (art 19 CDPH), que si l’Etat développe et propose des lieux d’accueil extrafamilial pour les enfants, il ne doit en exclure personne pour des motifs discriminatoires (cf. arrêt du TF du 23.02.2024 [2C_376/2023] cons. 4.1, en matière de droit à l’éducation). La CDPH définit la "discrimination fondée sur le handicap" comme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et "toutes les formes de discrimination, y compris le refus d'aménagement raisonnable" (art. 2 al. 4 CDPH). Selon le Tribunal fédéral, la portée de l'interdiction de la discrimination au sens de la CDPH ne va pas au-delà de celle de l'article 8 al. 2 Cst. féd., en ce sens que, dans le contexte de la CDPH comme en lien avec l'article 8 al. 2 Cst. féd., un traitement différent en raison d'un handicap n'est pas constitutif de discrimination lorsqu'il est fondé sur une justification qualifiée (cf. arrêt du TF du 24.11.2022 [2C_121/2022] cons. 5.4 et les arrêts cités ; cf. ci-dessous let. b). Par "aménagement raisonnable", la CDPH entend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4 CDPH).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 (arrêt du TF du 07.05.2024 [2C_299/2023] cons. 5.1.4 et les références). b) En droit interne, selon l'article 8 al. 2 Cst. féd., nul ne doit subir de discrimination du fait notamment d'une déficience corporelle, mentale ou psychique. Cette disposition interdit toute mesure étatique défavorable à une personne et fondée sur le handicap, si cette mesure ne répond pas à une justification qualifiée (ATF 145 I 142 cons. 5.2). Pour être justifiée, la mesure litigieuse doit poursuivre un intérêt public légitime et primordial, être nécessaire et adéquate et respecter dans l'ensemble le principe de la proportionnalité (ATF 147 I 89 cons. 2.1, 147 I 1 cons. 5.2, 145 I 73 cons. 5.1, 143 I 129 cons. 2.3.1). Par ailleurs, l'article 8 al. 2 Cst. féd.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 5.1 ; 142 V 316 cons. 6.1.2 ; 126 II 377 cons. 6c ; 124 II 409 cons. 7). L'article 8 al. 2 Cst. féd. ne confère pas un droit individuel, susceptible d'être invoqué en justice, à la réalisation de l'égalité dans les faits (ATF 143 V 114 cons. 5.3.2.1, 141 I 9 cons. 3.1). L'élimination des inégalités factuelles subies par les personnes handicapées incombe en effet au législateur, en vertu du mandat constitutionnel de l'article</w:t>
      </w:r>
    </w:p>
    <w:p>
      <w:r>
        <w:rPr>
          <w:b/>
        </w:rPr>
        <w:t>E. 8</w:t>
      </w:r>
    </w:p>
    <w:p>
      <w:r>
        <w:t>al. 4 Cst. féd. (ATF 141 I 9 cons. 3.1, 139 II 289 cons. 2.2.1). Sur le plan fédéral, le législateur a rempli sa mission en adoptant la loi du 13 décembre 2002 sur l’élimination des inégalités frappant les personnes handicapées (loi sur l’égalité pour les handicapés, LHand ; RS 151.3) laquelle ne s’applique toutefois pas aux prestations d’accueil extrafamilial des enfants, ce domaine relevant avant tout de la compétence des cantons et des communes, le rôle de la Confédération étant de les soutenir dans leurs tâches par le biais d’aides financières pour encourager la création de places d’accueil (cf. la loi fédérale sur les aides financières à l’accueil extra-familial pour enfants (LAAcc), du 04.10.2002, dont la durée de validité a été prolongée jusqu’au 31.12.2026) . c) Cette non-applicabilité est sans importance car, outre que le Tribunal fédéral reconnaît que le niveau de protection de l’article 8 al. 2 Cst. féd. est équivalent à celui de la LHand (arrêt du TF du 07.05.2024 [2C_299/2023] cons. 5.2.2), sur le plan cantonal, la Constitution contient une disposition similaire à l’article 8 al. 2 Cst. féd. (cf. art. 8 al. 1 Cst. NE) et le législateur neuchâtelois a, sur cette base, adopté la loi sur l’inclusion et l’accompagnement des personnes vivant avec un handicap (LIncA), du 2 novembre 2021, dont l’un des buts principaux est de permettre l’inclusion des personnes vivant avec un handicap (article premier). Cette loi entend par inclusion "le fait de garantir à toute personne vivant avec un handicap une participation pleine et entière à la société, l’expression de son auto-détermination et l’exercice de son autonomie (art. 2 let. a). Le canton, les communes et les organisations assumant des tâches déléguées par l’Etat sont responsables d’intégrer l’inclusion à tous les processus décisionnels qui ressortent de leurs compétences (art. 4 LIncA). L’Etat prend toutes mesures visant à garantir l’inclusion, notamment en facilitant l’accès à l’accueil extrafamilial, à la scolarité et à la formation (art. 5 al. 3 let. a LIncA). À cet effet, il prévoit un plan d’action (al. 4). Ce plan d’action (2023-2029), que le Conseil d’Etat a adopté le 16 août 2023 et auquel la Cour de céans s’est référé dans son arrêt de renvoi, a identifié 11 thèmes et fixé pour chacun d’entre eux les objectifs visés et défini les mesures à mettre en œuvre pour les atteindre. À propos du thème "Enfance, scolarité et formation", l’objectif consiste à "garantir l’inclusion des enfants et des jeunes adultes vivant avec un handicap au sein de la société ; les mesures pour y parvenir consistent en particulier à "soutenir les structures d’accueil extrafamilial dans le développement d’une prise en charge appropriée pour les enfants vivant avec un handicap", ainsi qu’à "informer et à sensibiliser le personnel d’encadrement de l’accueil extrafamilial dans le but d’intégrer l’inclusion des personnes vivant avec un handicap dans les concepts éducatifs des structures". En ce qui concerne l a loi cantonale sur l’accueil des enfants (LAE), du 28 septembre 2010, il est renvoyé à ce qui a été développé à ce sujet au considérant 2 de l’arrêt de la Cour de céans du 27 juin 2025, les modifications intervenues dans cette loi, avec effet au 1 er août 2025 n’y changeant rien. Quant au règlement général sur l’accueil des enfants (REGAE), du 5 décembre 2011, en vigueur au moment de l’arrêt de renvoi du 27 juin 2025, il a été abrogé par le REGAE du 7 juillet 2025, entré en vigueur le 1 er août 2025. Cela étant, le recourant ne peut rien tirer, à ce stade, de l’article 64 al. 2 de ce nouveau règlement qui impose aux structures d’accueil extrafamilial d’élaborer un plan individualisé pour chaque enfant à besoins spécifiques – sous-entendu qu’elles accueillent – détaillant les mesures prises pour son bien-être et son intégration. 4. a) En l’espèce, l’intimé a refusé d’admettre le recourant au sein de ses structures parascolaires aux motifs qu’aucune d’entre elles "ne dispose des ressources matérielles et humaines nécessaires" pour l’accueillir ; que "d’une manière générale, les locaux des structures parascolaires sont pensés pour accueillir des enfants de 4 ans et plus présentant un développement global standard" ; que le "matériel pédagogique et ludique est prévu et réfléchi (en termes de sécurité, pédagogie, développement, intérêt) pour des enfants de 4 ans et plus" et pas pour un enfant ayant un stade de développement "aux alentours de 2 ans", qu’en résumé, "il ressort du tableau des espaces parascolaires B.________ qu’aucun lieu n’est adapté à assurer la sécurité et le développement d’un enfant de 5 ans avec un âge de développement nettement inférieur, sans une surveillance permanente et individuelle que ce type de structure, prévue pour des enfants de 4 ans et plus présentant un développement global normal, ne peut pas offrir" et qu’en conclusion l’accueil parascolaire n’est pas adapté aux besoins de A.________. b) On est frappé, en lisant cette décision, par le fait que l’intimé a focalisé son attention sur la non-adaptabilité de ses structures d’accueil parascolaires à un enfant vivant avec un handicap tel que celui du recourant – par opposition à un enfant pourvu d’un "développement global standard" ou d’un "développement global normal" pour reprendre les termes utilisés, ce qui pourrait s’apparenter à une discrimination prohibée par la Constitution neuchâteloise (art. 8 al. 1), respectivement par la LIncA. Ce faisant, le conseil communal a non seulement méconnu sa responsabilité d’intégrer l’inclusion à son processus décisionnel (art. 4 LIncA), mais il a surtout totalement perdu de vue que c’est l’intérêt supérieur de A.________ qui devait guider son raisonnement. À cet égard, si, contrairement au droit à l’éducation, il n’existe pas un droit fondamental à une place dans une structure d’accueil parascolaire pour un enfant – que celui-ci vive ou ne vive pas avec un handicap – on peut néanmoins tirer des enseignements de la jurisprudence du Tribunal fédéral développée en la matière. Récemment (arrêt du 23.02.2024 [2C_376/2023]), après avoir rappelé que l’article 8 al. 2 Cst. féd. et l’article 20 al. 2 LHand oblige les cantons à encourager l’intégration des enfants handicapés dans l’école régulière, pour autant que cela soit possible et serve le bien de l’enfant handicapé, le Tribunal fédéral a considéré que "l’intégration des enfants handicapés dans les écoles ordinaires, accompagnée de mesures d’encouragement appropriées tenait compte de cet objectif". Il a insisté sur le fait que cette intégration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(cons. 4.4). Il a relevé qu’une "scolarisation séparée s’avère inadmissible (respectivement disproportionnée) lorsque les besoins de l’enfant peuvent être satisfaits par un soutien supplémentaire dans la classe ordinaire – et donc par une mesure moins contraignante". Il a ajouté que si "l’organisation de l’établissement scolaire peut être pris en compte dans la décision à rendre, elle ne peut toutefois être opposée aux intérêts de l’élève que si le fonctionnement efficace et ordonné de l’école ne peut plus être maintenu et que la mission de formation est remise en cause" (cons. 4.5). c) De l’avis de la Cour de céans, certains principes dégagés par cette jurisprudence peuvent s’appliquer mutadis mutandis à l’accueil parascolaire. Si pas plus qu’un enfant vivant sans handicap, le recourant n’a pas un droit à une place dans une structure parascolaire, il a en revanche le droit à ce que sa demande d’accueil soit examinée sans discrimination. Cela signifie qu’un refus en raison de son handicap doit être objectivement justifié. Or, en se limitant à lister ses "déficiences" ("sa marche est instable", "manque de repères dans l’espace et dans le temps", "se fatigue vite", "n’est pas encore capable de manger seul avec des services ou de se laver les dents seul", "n'est pas propre", "ne démontre pas de signe d’acquisition d’autonomie concernant l’habillage-déshabillage", "n’exprime que quelques mots" etc.), pour en déduire que les structures d’accueil parascolaires communales ne sont pas adaptées à ses besoins, sans même d’ailleurs les avoir identifiés, l’intimé n’a nullement procédé à l’analyse sérieuse et approfondie attendue de lui conformément aux objectifs de la LIncA. S’agissant d’un enfant qui, à l’instar du recourant, vit avec un handicap, il lui incombe en effet de déterminer – avec toute la rigueur attendue d’une autorité responsable d’intégrer l’inclusion à ses processus décisionnels – si son intérêt et son bien-être commandent ou, au contraire, s’opposent à ce qu’il soit accueilli dans une structure parascolaire ordinaire. Cela nécessite, au minimum, que celui qui a posé l’indication d’un accueil dans une structure parascolaire ordinaire soit intégré à ce processus (cf. à cet égard le chiffre 3 de la Directive no 13 du SPAJ du 07.12.2020). Or, bien que le pédiatre du recourant, le Dr C.________, soit intervenu pour appuyer la démarche de ses parents pour son intégration au parascolaire en mentionnant, notamment, qu’il n’y a "pas besoin que la personne qui accompagne A.________ soit spécialisée, ni même éducatrice" et que, "une maman de jour serait tout à fait capable d’assurer cette présence" (certificat médical du 20.02.2025), l’intimé a écarté son avis et n’a, à tort, pas jugé utile de collecter des informations complémentaires précieuses auprès de ce spécialiste, qui suit au surplus A.________ depuis ses premiers mois de vie et l’a donc également vu évoluer. À noter que si les observations de la direction de la crèche communale [ccc] (cf. formulaire pour le bilan annuel EBS du 16.05.2025), sont importantes, elles sont insuffisantes pour conclure qu’un accueil dans une structure parascolaire ordinaire irait à l’encontre des intérêts du recourant. Dans ce document, qui n’a, a priori, pas été soumis au Dr C.________ pour qu’il se positionne, il est en effet uniquement indiqué qu’un accueil parascolaire "n’est pas adapté aux besoins de A.________" et qu’il a "besoin d’un accompagnement individuel à 100 % pour progresser". A aucun moment il n’est mentionné qu’un accueil dans une structure ordinaire serait préjudiciable à son développement. Au contraire, deux autres professionnels intervenant auprès du recourant depuis 2023, respectivement 2022, soit D.________, orthophoniste, et E.________, thérapeute en psychomotricité, ont exposé les avantages pour leur patient d’un accueil au parascolaire. D’une part, D.________ a expliqué que cet accueil était important afin que A.________ puisse : "bénéficier des relations sociales pour continuer de développer ses compétences sociales en interagissant avec ses pairs, ce qui est essentiel pour son épanouissement personnel" ; "renforcer son estime de soi, se sentir appartenir à un groupe" ; "imiter les autres enfants dans diverses situations comme les jeux, les repas" et "continuer de développer sa communication". Elle a ajouté que "l’intégration d’un enfant trisomique 21 est bénéfique autant pour l’enfant lui-même que pour les autres enfants sur le plan du respect et de la tolérance, ce qui va dans le sens des considérations émises par le Tribunal fédéral (arrêt précité 2C_376/2023 cons. 4.4). D’autre part, si, de son point de vue de professionnelle de la psychomotricité, "une structure avec du personnel spécialisé serait l’idéal pour accompagner A.________, mais en sachant que de telles structures n’existent pas en dehors du temps scolaire et au vu des progrès réalisés par A.________ dans une structure non spécialisée avec un réseau de professionnels et de thérapeutes qui l’entoure (ce qui se poursuivra), [E.________] pense qu’un accueil dans une structure parascolaire avec une personne présente pour A.________ reste le meilleur pour lui". Elle a en outre précisé que "des échanges et conseils par les thérapeutes pourront être amenés à la personne qui accompagnera A.________ pour être au plus juste de ses besoins malgré le contexte non spécialisé et quelques aménagements peuvent suffire à le soutenir dans son développement". Si le conseil communal a écarté les conclusions de la première nommée pour un motif dont la pertinence est discutable, à savoir qu’elle n’indiquait pas que le recourant "aurait acquis le niveau d’autonomie nécessaire pour intégrer un parascolaire", il a par contre totalement ignoré les considérations de la seconde. d) Le dossier n’étant toujours pas instruit à satisfaction de droit, ni à celui de l’arrêt de renvoi du 27 juin 2025, il convient de renvoyer une nouvelle fois la cause au conseil communal pour qu’il examine la demande du recourant en tenant compte de tout ce qui vient d’être rappelé et exposé. C’est le lieu de préciser que l’intimé ne saurait refuser cette demande en se réfugiant derrière l’absence dans ses structures parascolaires "de personnel spécialisé formé dans le domaine du handicap", en invoquant un taux d’encadrement inférieur au secteur parascolaire compte tenu de l’autonomie acquise par les enfants qui y sont accueillis ou encore en se prévalant de locaux inappropriés pour la sécurité du recourant. Outre qu’il n’est contesté par personne que celui-ci a nécessairement besoin d’un accompagnement, le Dr C.________ a précisé que cette présence peut être le fait d’une maman de jour, solution au demeurant proposée par la direction de la crèche [ccc] dans son bilan annuel du 16 mai 2025, et actuellement choisie, par défaut, par ses parents. 5. La Cour de céans ayant statué au fond, les mesures provisionnelles sollicitées n’ont plus d’objet. 6. Bien fondé, le recours doit ainsi être admis, la décision attaquée annulée et la cause renvoyée à l’intimé pour qu’il procède conformément aux considérants qui précèdent, avant de statuer à nouveau. Il est statué sans frais, les autorités communales n’en payant pas (art. 47 al. 2 LPJA par renvoi de l’art. 46 LAE). Le recourant qui obtient gain de cause et qui a procédé avec l’assistance d’une mandataire professionnelle, a droit à une indemnité de dépens pour la présente procédure (art. 48 LPJA). En l’absence d’un mémoire d’honoraires de Me F.________ et au regard de l’ampleur et de la difficulté du dossier (art. 64 LTFrais par renvoi de l’art. 67 LTFrais), l’activité utile déployée par celle-ci peut être évaluée à quelque 10 heures au tarif de 300 francs de l’heure, soit un montant de 3'000 francs, auquel il faut ajouter les débours calculés forfaitairement à 10 % des dépens (art. 63 LTFrais par renvoi de l’art. 67 LTFrais), soit 300 francs et la TVA de 8,1 %, par 267.30 francs, soit un total de 3'567.30 francs à la charge du conseil communal.</w:t>
      </w:r>
    </w:p>
    <w:p>
      <w:r>
        <w:rPr>
          <w:b/>
        </w:rPr>
        <w:t>E. 29</w:t>
      </w:r>
    </w:p>
    <w:p>
      <w:r>
        <w:t>juillet 2025 qui maintiennent leur demande ; dun courrier de lintimé du 4 août 2025 transmettant aux parents de A.________ un tableau récapitulatif des structures daccueil parascolaires de B.________ comprenant certaines informations pour chaque structure (nombre denfants accueillis, ressources et compétences en personnel) ; et des déterminations complémentaires des parents de lintéressé qui persistent dans leurs conclusions.</w:t>
      </w:r>
    </w:p>
    <w:p>
      <w:r>
        <w:t>Aucun de ces documents nétablit que lintimé se serait conformé aux instructions de larrêt de renvoi et aurait, ainsi quil y était tenu, procédé à un examen sérieux, objectif et concret de la demande du recourant. Si une séance a réuni, le 8 juillet 2025, ses parents, dune part, la directrice des structures daccueil parascolaires communales, la cheffe du service de la jeunesse dont dépendent ces structures, la conseillère communale et cheffe du dicastère dont dépend ce service, ainsi quun membre de lUAEJ, dautre part, son objectif visait bien plutôt à trouver, respectivement à proposer des solutions aux parents de lintéressé, voire à les convaincre quune autre solution que les structures parascolaires communales serait souhaitable. Certes, le procès-verbal tenu à cette occasion indique que le service de la jeunesse "comme il lavait fait avant de prononcer sa décision, a réévalué minutieusement la situation en collaboration avec le service de protection de ladulte et de la jeunesse (SPAJ)" et il sachève par linformation que le "Conseil communal va réétudier cette semaine la demande ainsi que la décision conformément à larrêt de la Cour et en se basant sur les expertises du secteur parascolaire et du SPAJ" Or, pas plus aujourdhui, quauparavant dailleurs, on ne trouve au dossier une trace tangible de lexamen minutieux qui aurait été mené, respectivement qui aurait dû être mené conformément à la procédure rappelée dans larrêt de renvoi de la Cour de céans, ni dailleurs daucune expertise du "secteur parascolaire et du SPAJ". À noter que la circonstance que, finalement, A.________ nallait plus intégrer lécole obligatoire régulière à la rentrée scolaire du mois daoût 2025 mais une institution spécialisée, ne dispensait pas lintimé de respecter les injonctions de cet arrêt. Or, lintimé sest en réalité contenté dapprécier une nouvelle fois la situation du recourant en létat du même dossier  ou presque  que celui qui avait conduit la Cour de droit public à lui renvoyer la cause, ce qui appelle les considérations qui vont suivre, après un rappel du cadre légal.</w:t>
      </w:r>
    </w:p>
    <w:p>
      <w:r>
        <w:t>3.a) Aux termes de larticle 5 de la Convention du 13 décembre 2006 relative aux droits des personnes handicapées (CDPH), entrée en vigueur pour la Suisse le 15 mai 2014 (RS 0.109), les Etats parties reconnaissent que toutes les personnes sont égales devant la loi et en vertu de celle-ci et ont droit sans discrimination à légale protection et à légal bénéficie de la loi (al. 1). Ils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Etats parties prennent toutes les mesures appropriées pour faire en sorte que les aménagements raisonnables soient apportés (al. 3). En ce qui concerne les enfants handicapés, larticle 7 CDPH prévoit que les Etats parties prennent toutes mesures nécessaires pour garantir aux enfants handicapés la pleine jouissance de tous les droits de lhomme et de toutes les libertés fondamentales, sur la base de légalité avec les autres enfants (al. 1). Dans toutes les décisions qui concernent les enfants handicapés, lintérêt supérieur de lenfant doit être une considération primordiale (al. 2). Concernant lautonomie de vie et linclusion dans la société, larticle 19 CDPH stipule que les Etats parties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(let. c) les services et équipements sociaux destinés à la population en générale soient mis à disposition des personnes handicapées, sur la base de légalité avec les autres, et soient adaptés à leurs besoins. Cet alinéa renvoie à une large gamme de services et déquipements dont font indubitablement parties les structures daccueil extrafamilial.</w:t>
      </w:r>
    </w:p>
    <w:p>
      <w:r>
        <w:t>La jurisprudence du Tribunal fédéral retient que linterdiction de la discrimination contenue dans la CDPH est directement applicable (ATF 149 I 41 cons. 7, 145 I 142 cons. 5.1 ; arrêt du TF du 14.04.2021 [8C_633/2021] cons. 4.2 et 6.2.2). Cela implique, en lien avec linterdiction de la discrimination en ce qui concerne le droit de vivre dans la société avec la même liberté de choix que les autres personnes (art 19 CDPH), que si lEtat développe et propose des lieux daccueil extrafamilial pour les enfants, il ne doit en exclure personne pour des motifs discriminatoires (cf. arrêt du TF du 23.02.2024 [2C_376/2023] cons. 4.1, en matière de droit à léducation).</w:t>
      </w:r>
    </w:p>
    <w:p>
      <w:r>
        <w:t>La CDPH définit la "discrimination fondée sur le handicap" comme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et "toutes les formes de discrimination, y compris le refus d'aménagement raisonnable" (art. 2 al. 4 CDPH). Selon le Tribunal fédéral, la portée de l'interdiction de la discrimination au sens de la CDPH ne va pas au-delà de celle de l'article 8 al. 2 Cst. féd., en ce sens que, dans le contexte de la CDPH comme en lien avec l'article 8 al. 2 Cst. féd., un traitement différent en raison d'un handicap n'est pas constitutif de discrimination lorsqu'il est fondé sur une justification qualifiée (cf. arrêt du TF du 24.11.2022 [2C_121/2022] cons. 5.4 et les arrêts cités ; cf. ci-dessous let. b). Par "aménagement raisonnable", la CDPH entend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4 CDPH).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 (arrêt du TF du 07.05.2024 [2C_299/2023] cons. 5.1.4 et les références).</w:t>
      </w:r>
    </w:p>
    <w:p>
      <w:r>
        <w:t>b) En droit interne, selon l'article 8 al. 2 Cst. féd., nul ne doit subir de discrimination du fait notamment d'une déficience corporelle, mentale ou psychique. Cette disposition interdit toute mesure étatique défavorable à une personne et fondée sur le handicap, si cette mesure ne répond pas à une justification qualifiée (ATF 145 I 142 cons. 5.2). Pour être justifiée, la mesure litigieuse doit poursuivre un intérêt public légitime et primordial, être nécessaire et adéquate et respecter dans l'ensemble le principe de la proportionnalité (ATF 147 I 89 cons. 2.1, 147 I 1 cons. 5.2, 145 I 73 cons. 5.1, 143 I 129 cons. 2.3.1). Par ailleurs, l'article 8 al. 2 Cst. féd.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 5.1 ; 142 V 316 cons. 6.1.2 ; 126 II 377 cons. 6c ; 124 II 409 cons. 7).L'article 8 al. 2 Cst. féd. ne confère pas un droit individuel, susceptible d'être invoqué en justice, à la réalisation de l'égalité dans les faits (ATF 143 V 114 cons. 5.3.2.1, 141 I 9 cons. 3.1). L'élimination des inégalités factuelles subies par les personnes handicapées incombe en effet au législateur, en vertu du mandat constitutionnel de l'article 8 al. 4 Cst. féd. (ATF 141 I 9 cons. 3.1, 139 II 289 cons. 2.2.1).</w:t>
      </w:r>
    </w:p>
    <w:p>
      <w:r>
        <w:t>Sur le plan fédéral, le législateur a rempli sa mission en adoptant la loi du 13 décembre 2002 sur lélimination des inégalités frappant les personnes handicapées (loi sur légalité pour les handicapés, LHand ; RS 151.3) laquelle ne sapplique toutefois pas aux prestations daccueil extrafamilial des enfants, cedomaine relevant avant tout de la compétence des cantons et des communes, le rôle de la Confédérationétant de les soutenir dans leurs tâches par le biais daides financières pour encourager la création de places daccueil (cf. la loi fédérale sur les aides financières à laccueil extra-familial pour enfants (LAAcc), du 04.10.2002, dont la durée de validité a été prolongée jusquau 31.12.2026).</w:t>
      </w:r>
    </w:p>
    <w:p>
      <w:r>
        <w:t>c) Cette non-applicabilité est sans importance car, outre que le Tribunal fédéral reconnaît que le niveau de protection de larticle 8 al. 2 Cst. féd. est équivalent à celui de la LHand (arrêt du TF du 07.05.2024 [2C_299/2023] cons. 5.2.2), sur le plan cantonal, la Constitution contient une disposition similaire à larticle 8 al. 2 Cst. féd. (cf. art. 8 al. 1 Cst. NE) et le législateur neuchâtelois a, sur cette base, adopté la loi sur linclusion et laccompagnement des personnes vivant avec un handicap (LIncA), du 2 novembre 2021, dont lun des buts principaux est de permettre linclusion des personnes vivant avec un handicap (article premier). Cette loi entend par inclusion "le fait de garantir à toute personne vivant avec un handicap une participation pleine et entière à la société, lexpression de son auto-détermination et lexercice de son autonomie (art. 2 let. a). Le canton, les communes et les organisations assumant des tâches déléguées par lEtat sont responsables dintégrer linclusion à tous les processus décisionnels qui ressortent de leurs compétences (art. 4 LIncA). LEtat prend toutes mesures visant à garantir linclusion, notamment en facilitant laccès à laccueil extrafamilial, à la scolarité et à la formation (art. 5 al. 3 let. a LIncA). À cet effet, il prévoit un plan daction (al. 4). Ce plan daction (2023-2029), que le Conseil dEtat a adopté le 16 août 2023 et auquel la Cour de céans sest référé dans son arrêt de renvoi, a identifié 11 thèmes et fixé pour chacun dentre eux les objectifs visés et défini les mesures à mettre en uvre pour les atteindre. À propos du thème "Enfance, scolarité et formation", lobjectif consiste à "garantir linclusion des enfants et des jeunes adultes vivant avec un handicap au sein de la société ; les mesures pour y parvenir consistent en particulier à "soutenir les structures daccueil extrafamilial dans le développement dune prise en charge appropriée pour les enfants vivant avec un handicap", ainsi quà "informer et à sensibiliser le personnel dencadrement de laccueil extrafamilial dans le but dintégrer linclusion des personnes vivant avec un handicap dans les concepts éducatifs des structures".</w:t>
      </w:r>
    </w:p>
    <w:p>
      <w:r>
        <w:t>En ce qui concerne la loi cantonale sur laccueil des enfants (LAE), du 28 septembre 2010, il est renvoyé à ce qui a été développé à ce sujet au considérant 2 de larrêt de la Cour de céans du 27 juin 2025, les modifications intervenues dans cette loi, avec effet au 1eraoût 2025 ny changeant rien. Quant au règlement général sur laccueil des enfants (REGAE), du 5 décembre 2011, en vigueur au moment de larrêt de renvoi du 27 juin 2025, il a été abrogé par le REGAE du 7 juillet 2025, entré en vigueur le 1eraoût 2025. Cela étant, le recourant ne peut rien tirer, à ce stade, de larticle 64 al. 2 de ce nouveau règlement qui impose aux structures daccueil extrafamilial délaborer un plan individualisé pour chaque enfant à besoins spécifiques  sous-entendu quelles accueillent  détaillant les mesures prises pour son bien-être et son intégration.</w:t>
      </w:r>
    </w:p>
    <w:p>
      <w:r>
        <w:t>4.a) En lespèce, lintimé a refusé dadmettre le recourant au sein de ses structures parascolaires aux motifs quaucune dentre elles "ne dispose des ressources matérielles et humaines nécessaires" pour laccueillir ; que "dune manière générale, les locaux des structures parascolaires sont pensés pour accueillir des enfants de 4 ans et plus présentant un développement global standard" ; que le "matériel pédagogique et ludique est prévu et réfléchi (en termes de sécurité, pédagogie, développement, intérêt) pour des enfants de 4 ans et plus" et pas pour un enfant ayant un stade de développement "aux alentours de 2 ans", quen résumé, "il ressort du tableau des espaces parascolaires B.________ quaucun lieu nest adapté à assurer la sécurité et le développement dun enfant de 5 ans avec un âge de développement nettement inférieur, sans une surveillance permanente et individuelle que ce type de structure, prévue pour des enfants de 4 ans et plus présentant un développement global normal, ne peut pas offrir" et quen conclusion laccueil parascolaire nest pas adapté aux besoins de A.________.</w:t>
      </w:r>
    </w:p>
    <w:p>
      <w:r>
        <w:t>b) On est frappé, en lisant cette décision, par le fait que lintimé a focalisé son attention sur la non-adaptabilité de ses structures daccueil parascolaires à un enfant vivant avec un handicap tel que celui du recourant  par opposition à un enfant pourvu dun "développement global standard" ou dun "développement global normal" pour reprendre les termes utilisés, ce qui pourrait sapparenter à une discrimination prohibée par la Constitution neuchâteloise (art. 8 al. 1), respectivement par la LIncA. Ce faisant, le conseil communal a non seulement méconnu sa responsabilité dintégrer linclusion à son processus décisionnel (art. 4 LIncA), mais il a surtout totalement perdu de vue que cest lintérêt supérieur de A.________ qui devait guider son raisonnement. À cet égard, si, contrairement au droit à léducation, il nexiste pas un droit fondamental à une place dans une structure daccueil parascolaire pour un enfant  que celui-ci vive ou ne vive pas avec un handicap  on peut néanmoins tirer des enseignements de la jurisprudence du Tribunal fédéral développée en la matière. Récemment (arrêt du 23.02.2024 [2C_376/2023]), après avoir rappelé que larticle 8 al. 2 Cst. féd. et larticle 20 al. 2 LHand oblige les cantons à encourager lintégration des enfants handicapés dans lécole régulière, pour autant que cela soit possible et serve le bien de lenfant handicapé, le Tribunal fédéral a considéré que "lintégration des enfants handicapés dans les écoles ordinaires, accompagnée de mesures dencouragement appropriées tenait compte de cet objectif". Il a insisté sur le fait que cette intégration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(cons. 4.4). Il a relevé quune "scolarisation séparée savère inadmissible (respectivement disproportionnée) lorsque les besoins de lenfant peuvent être satisfaits par un soutien supplémentaire dans la classe ordinaire  et donc par une mesure moins contraignante". Il a ajouté que si "lorganisation de létablissement scolaire peut être pris en compte dans la décision à rendre, elle ne peut toutefois être opposée aux intérêts de lélève que si le fonctionnement efficace et ordonné de lécole ne peut plus être maintenu et que la mission de formation est remise en cause" (cons. 4.5).</w:t>
      </w:r>
    </w:p>
    <w:p>
      <w:r>
        <w:t>c) De lavis de la Cour de céans, certains principes dégagés par cette jurisprudence peuvent sappliquermutadis mutandisà laccueil parascolaire. Si pas plus quun enfant vivant sans handicap, le recourant na pas un droit à une place dans une structure parascolaire, il a en revanche le droit à ce que sa demande daccueil soit examinée sans discrimination. Cela signifie quun refus en raison de son handicap doit être objectivement justifié. Or, en se limitant à lister ses "déficiences" ("sa marche est instable", "manque de repères dans lespace et dans le temps", "se fatigue vite", "nest pas encore capable de manger seul avec des services ou de se laver les dents seul", "n'est pas propre", "ne démontre pas de signe dacquisition dautonomie concernant lhabillage-déshabillage", "nexprime que quelques mots" etc.), pour en déduire que les structures daccueil parascolaires communales ne sont pas adaptées à ses besoins, sans même dailleurs les avoir identifiés, lintimé na nullement procédé à lanalyse sérieuse et approfondie attendue de lui conformément aux objectifs de la LIncA. Sagissant dun enfant qui, à linstar du recourant, vit avec un handicap, il lui incombe en effet de déterminer  avec toute la rigueur attendue dune autorité responsable dintégrer linclusion à ses processus décisionnels  si son intérêt et son bien-être commandent ou, au contraire, sopposent à ce quil soit accueilli dans une structure parascolaire ordinaire. Cela nécessite, au minimum, que celui qui a posé lindication dun accueil dans une structure parascolaire ordinaire soit intégré à ce processus (cf. à cet égard le chiffre 3 de la Directive no 13 du SPAJ du 07.12.2020). Or, bien que le pédiatre du recourant, le Dr C.________, soit intervenu pour appuyer la démarche de ses parents pour son intégration au parascolaire en mentionnant, notamment, quil ny a "pas besoin que la personne qui accompagne A.________ soit spécialisée, ni même éducatrice" et que, "une maman de jour serait tout à fait capable dassurer cette présence" (certificat médical du 20.02.2025), lintimé a écarté son avis et na, à tort, pas jugé utile de collecter des informations complémentaires précieuses auprès de ce spécialiste, qui suit au surplus A.________ depuis ses premiers mois de vie et la donc également vu évoluer. À noter que si les observations de la direction de la crèche communale [ccc] (cf. formulaire pour le bilan annuel EBS du 16.05.2025), sont importantes, elles sont insuffisantes pour conclure quun accueil dans une structure parascolaire ordinaire irait à lencontre des intérêts du recourant. Dans ce document, qui na, a priori, pas été soumis au Dr C.________ pour quil se positionne, il est en effet uniquement indiqué quun accueil parascolaire "nest pas adapté aux besoins de A.________" et quil a "besoin dun accompagnement individuel à 100 % pour progresser". A aucun moment il nest mentionné quun accueil dans une structure ordinaire serait préjudiciable à son développement. Au contraire, deux autres professionnels intervenant auprès du recourant depuis 2023, respectivement 2022, soit D.________, orthophoniste, et E.________, thérapeute en psychomotricité, ont exposé les avantages pour leur patient dun accueil au parascolaire.</w:t>
      </w:r>
    </w:p>
    <w:p>
      <w:r>
        <w:t>Dune part, D.________ a expliqué que cet accueil était important afin que A.________ puisse : "bénéficier des relations sociales pour continuer de développer ses compétences sociales en interagissant avec ses pairs, ce qui est essentiel pour son épanouissement personnel" ; "renforcer son estime de soi, se sentir appartenir à un groupe" ; "imiter les autres enfants dans diverses situations comme les jeux, les repas" et "continuer de développer sa communication". Elle a ajouté que "lintégration dun enfant trisomique 21 est bénéfique autant pour lenfant lui-même que pour les autres enfants sur le plan du respect et de la tolérance, ce qui va dans le sens des considérations émises par le Tribunal fédéral (arrêt précité 2C_376/2023 cons. 4.4). Dautre part, si, de son point de vue de professionnelle de la psychomotricité, "une structure avec du personnel spécialisé serait lidéal pour accompagner A.________, mais en sachant que de telles structures nexistent pas en dehors du temps scolaire et au vu des progrès réalisés par A.________ dans une structure non spécialisée avec un réseau de professionnels et de thérapeutes qui lentoure (ce qui se poursuivra), [E.________] pense quun accueil dans une structure parascolaire avec une personne présente pour A.________ reste le meilleur pour lui". Elle a en outre précisé que "des échanges et conseils par les thérapeutes pourront être amenés à la personne qui accompagnera A.________ pour être au plus juste de ses besoins malgré le contexte non spécialisé et quelques aménagements peuvent suffire à le soutenir dans son développement". Si le conseil communal a écarté les conclusions de la première nommée pour un motif dont la pertinence est discutable, à savoir quelle nindiquait pas que le recourant "aurait acquis le niveau dautonomie nécessaire pour intégrer un parascolaire", il a par contre totalement ignoré les considérations de la seconde.</w:t>
      </w:r>
    </w:p>
    <w:p>
      <w:r>
        <w:t>d) Le dossier nétant toujours pas instruit à satisfaction de droit, ni à celui de larrêt de renvoi du 27 juin 2025, il convient de renvoyer une nouvelle fois la cause au conseil communal pour quil examine la demande du recourant en tenant compte de tout ce qui vient dêtre rappelé et exposé. Cest le lieu de préciser que lintimé ne saurait refuser cette demande en se réfugiant derrière labsence dans ses structures parascolaires "de personnel spécialisé formé dans le domaine du handicap", en invoquant un taux dencadrement inférieur au secteur parascolaire compte tenu de lautonomie acquise par les enfants qui y sont accueillis ou encore en se prévalant de locaux inappropriés pour la sécurité du recourant. Outre quil nest contesté par personne que celui-ci a nécessairement besoin dun accompagnement, le Dr C.________ a précisé que cette présence peut être le fait dune maman de jour, solution au demeurant proposée par la direction de la crèche [ccc] dans son bilan annuel du 16 mai 2025, et actuellement choisie, par défaut, par ses parents.</w:t>
      </w:r>
    </w:p>
    <w:p>
      <w:r>
        <w:t>5.La Cour de céans ayant statué au fond, les mesures provisionnelles sollicitées nont plus dobjet.</w:t>
      </w:r>
    </w:p>
    <w:p>
      <w:r>
        <w:t>6.Bien fondé, le recours doit ainsi être admis, la décision attaquée annulée et la cause renvoyée à lintimé pour quil procède conformément aux considérants qui précèdent, avant de statuer à nouveau.</w:t>
      </w:r>
    </w:p>
    <w:p>
      <w:r>
        <w:t>Il est statué sans frais, les autorités communales nen payant pas (art. 47 al. 2 LPJA par renvoi de lart. 46 LAE). Le recourant qui obtient gain de cause et qui a procédé avec lassistance dune mandataire professionnelle, a droit à une indemnité de dépens pour la présente procédure (art. 48 LPJA). En labsence dun mémoire dhonoraires de Me F.________ et au regard de lampleur et de la difficulté du dossier (art. 64 LTFrais par renvoi de lart. 67 LTFrais), lactivité utile déployée par celle-ci peut être évaluée à quelque 10 heures au tarif de 300 francs de lheure, soit un montant de 3'000 francs, auquel il faut ajouter les débours calculés forfaitairement à 10 % des dépens (art. 63 LTFrais par renvoi de lart. 67 LTFrais), soit 300 francs et la TVA de 8,1 %, par 267.30 francs, soit un total de 3'567.30 francs à la charge du conseil communal.</w:t>
      </w:r>
    </w:p>
    <w:p>
      <w:r>
        <w:t>Par ces motifs,LACour de droit public</w:t>
      </w:r>
    </w:p>
    <w:p>
      <w:r>
        <w:t>1.Admet le recours.</w:t>
      </w:r>
    </w:p>
    <w:p>
      <w:r>
        <w:t>2.Annule la décision du Conseil communal de B.________ du 22 septembre 2025 et lui renvoie la cause pour procéder selon les considérants.</w:t>
      </w:r>
    </w:p>
    <w:p>
      <w:r>
        <w:t>3.Dit que la demande de mesures provisionnelles na plus dobjet.</w:t>
      </w:r>
    </w:p>
    <w:p>
      <w:r>
        <w:t>4.Statue sans frais.</w:t>
      </w:r>
    </w:p>
    <w:p>
      <w:r>
        <w:t>5.Alloue au recourant une indemnité de dépens de 3'567.30 francs à la charge du Conseil communal de B.________.</w:t>
      </w:r>
    </w:p>
    <w:p>
      <w:r>
        <w:t>Neuchâtel, le 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