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CDP.2025.330 vom 25. März 2026</w:t>
      </w:r>
    </w:p>
    <w:p>
      <w:r>
        <w:t>NE Tribunal cantonal, 2026-03-25, FR</w:t>
      </w:r>
    </w:p>
    <w:p>
      <w:r>
        <w:rPr>
          <w:b/>
        </w:rPr>
        <w:t xml:space="preserve">Quelle: </w:t>
      </w:r>
      <w:r>
        <w:t>https://mcp.opencaselaw.ch/entscheid/ne_gerichte_CDP.2025.330</w:t>
      </w:r>
    </w:p>
    <w:p>
      <w:r>
        <w:t>FR: NE_GERICHTE CDP.2025.330 du 25 mars 2026</w:t>
      </w:r>
    </w:p>
    <w:p>
      <w:r>
        <w:t>IT: NE_GERICHTE CDP.2025.330 del 25 marzo 2026</w:t>
      </w:r>
    </w:p>
    <w:p>
      <w:pPr>
        <w:pStyle w:val="Heading2"/>
      </w:pPr>
      <w:r>
        <w:t>Erwägungen</w:t>
      </w:r>
    </w:p>
    <w:p>
      <w:r>
        <w:rPr>
          <w:b/>
        </w:rPr>
        <w:t>E. 13</w:t>
      </w:r>
    </w:p>
    <w:p>
      <w:r>
        <w:t>novembre 2023, n'est pas nouveau sachant qu'il attestait déjà une incapacité de travail à 100 % en 2019. On rappelle que, par décision du 3 juillet 2019, l'OAI avait rejeté la demande de révision de l'intéressé, au motif que les pièces médicales versées au dossier ne rendaient pas plausible une modification durable de l'état de santé. Par ailleurs, on relèvera que, si le Dr C.________ avait, dans son rapport d'expertise du 15 mai 2007, exclu l'existence d'un trouble schizo-affectif, l'OAI ne s'était pas rallié à cette appréciation et avait, au contraire, fondé sa décision sur les conclusions du Dr D.________, lequel avait retenu le diagnostic de trouble schizo-affectif de type dépressif, actuellement compensé (F25.1). Dans ces conditions, le fait que le Dr H.________ atteste ce trouble dans son rapport du 13 novembre 2023 ne saurait constituer un élément nouveau propre à rendre vraisemblable une aggravation de l'état de santé du recourant. Ce diagnostic a en réalité déjà été pris en compte par l'OAI depuis la révision de 2006 et a été réitéré dans le cadre de l'examen clinique psychiatrique du 16 mars 2011 (révision de 2010).</w:t>
      </w:r>
    </w:p>
    <w:p>
      <w:r>
        <w:t>Le dernier rapport médical du 22 mai 2024 du psychiatre traitant nest pas davantage susceptible de jeter un doute, même faible, sur le bien-fondé des conclusions du SMR. En effet, le psychiatre traitant se contente de faire état de nouveaux diagnostics (dépression récurrente, sévère avec symptômes psychotiques [F33] et une personnalité paranoïaque [F60.0]) sans exposer de manière circonstanciée en quoi ceux-ci entraîneraient des limitations fonctionnelles supplémentaires ou revêtiraient un caractère incapacitant, ce qui interroge. A l'instar de l'intimé, force est de constater que ces diagnostics nouvellement évoqués sont fondés sur des limitations fonctionnelles correspondant en substance à celles déjà retenues antérieurement. À ce titre, on relèvera que le psychiatre traitant mentionne que son patient présente un manque de flexibilité relationnelle ; reproduit les mêmes attitudes et comportements à chaque fois qu'il entreprend un nouveau travail, à savoir qu'il présente des difficultés relationnelles avec son employeur et ses collègues ; qu'il n'arrive pas à dialoguer ni à s'adapter aux autres qui n'aiment pas son comportement ni son perfectionnisme ; qu'il devient dès lors méfiant et se sent persécuté ; qu'il a le sentiment d'être jugé et espionné et que les énormes conflits interpersonnels se traduisent par un évitement du travail. Il ressort des éléments au dossier que cette situation, respectivement la description clinique et les limitations fonctionnelles, est connue depuis de nombreuses années déjà. Lors de l'examen psychiatrique du 14 janvier 2008, le Dr D.________ relevait déjà des difficultés sur le plan relationnel avec une forte tendance à interpréter les conflits avec les collaborateurs comme hostiles ou méprisants. Cette situation a perduré dans le temps, puisqu'à l'occasion de la dernière révision (2019), le Dr H.________ a signalé que son patient avait été licencié en raison de difficultés physiques, mais surtout interpersonnelles (cf. rapport médical du 05.04.2019). Il est au demeurant pour le moins surprenant que le trouble schizo-affectif et d'anxiété généralisée diagnostiqués de manière constante durant de nombreuses années ne soient soudainement plus retenus par le Dr H.________, sans qu'aucune explication circonstanciée ne soit fournie quant aux motifs d'une telle inflexion dans l'appréciation clinique. Compte tenu de ce qui précède, force est de constater que le Dr H.________ opère une appréciation différente d'un état de fait qui, pour l'essentiel, est demeuré inchangé et qui n'appelle pas une révision au sens de l'article 17 al. 1 LPGA (cf. ATF 150 V 67 cons. 4.3). Il apparaît ainsi que c'est à juste titre et de manière convaincante que le SMR a retenu qu'il n'y avait pas de péjoration de l'état de santé sur le plan psychiatrique.</w:t>
      </w:r>
    </w:p>
    <w:p>
      <w:r>
        <w:t>d) C'est dès lors à bon droit que l'intimé a considéré que l'état de santé de l'assuré ne s'était pas aggravé durablement, hormis durant une période temporaire, et qu'il lui a octroyé à compter du 1eroctobre 2023 une rente d'invalidité de 55 %, puis dès le 1erjanvier 2024, une rente d'invalidité de 60 %, fondées sur une capacité de travail de 50% dans une activité adaptée. Les taux d'abattement retenus par l'OAI ne sont pas contestés par le recourant de sorte qu'il n'y a pas lieu d'y revenir.</w:t>
      </w:r>
    </w:p>
    <w:p>
      <w:r>
        <w:t>6.Les considérants qui précèdent conduisent au rejet du recours. La Cour de céans ayant pu statuer en létat du dossier, il nest pas utile de procéder à dautres mesures dinstruction. Vu lissue du litige, les frais de procédure doivent être mis à la charge du recourant (art. 61 let. fbisLPGA en relation avec lart. 69 al. 1bisLAI), qui na pas droit à des dépens (art. 61 let. g LPGA,a contrario).</w:t>
      </w:r>
    </w:p>
    <w:p>
      <w:r>
        <w:t>Par ces motifs,la Cour de droit public</w:t>
      </w:r>
    </w:p>
    <w:p>
      <w:r>
        <w:t>1.Rejette le recours.</w:t>
      </w:r>
    </w:p>
    <w:p>
      <w:r>
        <w:t>2.Met les frais de la procédure par 660 francs à charge du recourant, montant compensé par son avance.</w:t>
      </w:r>
    </w:p>
    <w:p>
      <w:r>
        <w:t>3.Nalloue pas de dépens.</w:t>
      </w:r>
    </w:p>
    <w:p>
      <w:r>
        <w:t>Neuchâtel, le25mars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