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CDP.2025.28 vom 19. November 2025</w:t>
      </w:r>
    </w:p>
    <w:p>
      <w:r>
        <w:t>NE Tribunal cantonal, 2025-11-19, FR</w:t>
      </w:r>
    </w:p>
    <w:p>
      <w:r>
        <w:rPr>
          <w:b/>
        </w:rPr>
        <w:t xml:space="preserve">Quelle: </w:t>
      </w:r>
      <w:r>
        <w:t>https://mcp.opencaselaw.ch/entscheid/ne_gerichte_CDP.2025.28</w:t>
      </w:r>
    </w:p>
    <w:p>
      <w:r>
        <w:t>FR: NE_GERICHTE CDP.2025.28 du 19 novembre 2025</w:t>
      </w:r>
    </w:p>
    <w:p>
      <w:r>
        <w:t>IT: NE_GERICHTE CDP.2025.28 del 19 novembre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références citées). Ils peuvent cependant être pris en considération dans la mesure où ils sont étroitement liés à l'objet du litige et de nature à influencer l'appréciation au moment où la décision attaquée a été rendue (arrêts du TF du 25.05.2021 [9C_758/2020 cons. 3.2, du 05.08.2019 [8C_217/2019] cons. 3 et du 25.07.2018 [9C_269/2018] cons. 4.2). En particulier, même s’il a été rendu postérieurement à la date déterminante, un rapport médical doit être pris en considération s’il a trait à la situation antérieure à cette date (arrêt du TF du 17.10.2024 [9C_253/2024] cons. 3.3 et les références citées). b) En l’occurrence, les rapports médicaux du Centre [b] (28.01.2025) et du Dr F.________ (14.02.2025) ont été établis postérieurement à la décision de l’OAI du 13 décembre 2024, mais concernent des éléments de faits antérieurs à la décision attaquée, de sorte qu’il y a lieu d’en tenir compte. En effet, bien que la consultation auprès du Centre [b] ait eu lieu le 27 janvier 2025, les médecins font état de symptômes qui se seraient péjorés durant les derniers mois. S’agissant du rapport établi par le Dr F.________, celui-ci se rapporte à une consultation effectuée le 6 décembre 2024, soit antérieurement à la décision querellée, ainsi qu’à une ergospirométrie réalisée le 18 décembre 2024. Le praticien y conclut à l’existence d’une dyspnée d’origine fonctionnelle, précisant que le tableau respiratoire décrit est apparu dans les suites immédiates de l’infection au covid-19.</w:t>
      </w:r>
    </w:p>
    <w:p>
      <w:r>
        <w:rPr>
          <w:b/>
        </w:rPr>
        <w:t>E. 3</w:t>
      </w:r>
    </w:p>
    <w:p>
      <w:r>
        <w:t>Dans un grief d'ordre formel qu'il y a lieu d'examiner en premier lieu (ATF 141 V 557 cons. 3), la recourante invoque la violation de son droit d'être entendue (art. 29 al. 2 Cst. féd.) sous l'angle d'un défaut de motivation. Elle reproche à l’OAI d’avoir écarté sa réquisition visant à mettre en œuvre une expertise pluridisciplinaire au seul motif que l’expertise bidisciplinaire réalisée avait une pleine valeur probante et sans exposer les raisons pour lesquelles les recommandations de l’Office fédéral de la santé publique (ci-après : OFSP) en matière de « covid long » étaient ignorées. La violation du droit d'être entendue, telle qu’invoquée par la recourante, soit une violation de son droit à la preuve n’a pas de portée propre par rapport au grief tiré d'une violation du droit. Ce grief fera l’objet, en tant que besoin, d’un examen sur le fond ci-dessous.</w:t>
      </w:r>
    </w:p>
    <w:p>
      <w:r>
        <w:rPr>
          <w:b/>
        </w:rPr>
        <w:t>E. 4</w:t>
      </w:r>
    </w:p>
    <w:p>
      <w:r>
        <w:t>Le litige porte sur le bien-fondé de la décision du 13 décembre 2024, par laquelle l’OAI a refusé le droit de la recourante à une rentre d’invalidité, au motif que sa capacité de travail est entière, depuis toujours, dans toutes activités correspondant à ses aptitudes, compétences et motivations. a) 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b) Selon l’article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et si, au terme de cette année, il est invalide (art. 8 LPGA) à 40 % au moins (let. c). Lorsque l’assuré exerce une activité lucrative à temps partiel ou travaille sans être rémunéré dans l’entreprise de son conjoint, le taux d’invalidité pour cette activité est évalué selon l’article 16 LPGA. S’il accomplit ses travaux habituels, le taux d’invalidité pour cette activité est fixé selon l’alinéa 2. Dans ce cas, les parts respectives de l’activité lucrative ou du travail dans l’entreprise du conjoint et de l’accomplissement des travaux habituels sont déterminées ; le taux d’invalidité est calculé dans les deux domaines d’activité (art. 28a al. 3 LAI).</w:t>
      </w:r>
    </w:p>
    <w:p>
      <w:r>
        <w:rPr>
          <w:b/>
        </w:rPr>
        <w:t>E. 5</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références citées).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références citées). b/aa)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 Riemer-Kafka [Edit.], Expertises en médecine des assurances, 3e 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Commentaire LAI, ad art. 57 n° 48). Toutefois, le simple fait qu'un certificat médical ou une expertise soit établi à la demande d'une partie et soit produit pendant la procédure ne justifie pas en soi de douter de sa valeur probante (ATF 125 V 351 cons. 3b/dd et les références citées). b/bb) 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 b/cc)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références citées).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b/dd) Dans un arrêt récent, le Tribunal fédéral a reconnu la nécessité de prendre en considération un diagnostic de syndrome post-covid, pour autant qu’il ait été posé par un médecin, dans l’examen de la capacité de travail d’un assuré (arrêt du TF du 06.11.2023 [9C_63/2023] cons. 5.1). Par ailleurs, plusieurs auteurs dans la doctrine ont estimé que la partie non somatique du covid long devait être traitée de manière similaire aux maladies psychiques et aux troubles dits non objectivables (Dupont, Etat de droit et état d’urgence : perspectives sous l’angle du droit des assurances, 2023, in : SJ 2023 p. 345 ; Egli/Kradolfer/Vokinger, Long Covid, in : RSAS pp. 176 et 182-183). Selon la jurisprudence,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145 V 361 cons. 3.1, 141 V 281 cons. 2, 3.4 à 3.6, 4.1). Le point de vue de ces auteurs est par ailleurs corroboré par le Groupe de travail post-Covid-19 commun à l’Universitätsspital de Bâle et la Swiss Insurance Medicine, dans le document « Recommandation pour le bilan de médecine d’assurance d’une affection post-Covid-19 en Suisse (Version 2.0) » , daté du 31 juillet 2023. Cette publication recommande en effet une expertise polydisciplinaire en médecine interne/infectiologie et neurologie/neuropsychologie, si les symptômes persistent pendant plus de 12 mois (ou en cas de convalescence après une forme grave, après la fin des mesures thérapeutiques) (arrêt du TAF du 25.06.2024 [C-4115/2023] cons. 11.1).</w:t>
      </w:r>
    </w:p>
    <w:p>
      <w:r>
        <w:rPr>
          <w:b/>
        </w:rPr>
        <w:t>E. 6</w:t>
      </w:r>
    </w:p>
    <w:p>
      <w:r>
        <w:t>a) En l’espèce la décision litigieuse fait suite aux rapports de synthèse des 12 août et 11 octobre 2024 du SMR, lequel conclut à une capacité de travail de 100 %, depuis toujours, dans toutes activités correspondant aux aptitudes, compétences et motivations de l’assurée. Cette conclusion est basée sur l’expertise bidisciplinaire effectuée par les Drs N.________ et M._______(cf. rapport d’expertise du 02.08.2024). Les experts n’ont retenu aucun diagnostic incapacitant sur les plans somatique et psychique, ni constaté de limitations fonctionnelles. Au titre de diagnostic non incapacitant, ils ont retenu un status après infection au SARS-COV-2, début novembre 2020, suivi d’un syndrome de covid long (CIM-11 : RA02). b) L’assurée reproche à l’OAI de s’être basé sur le rapport d’expertise bidisciplinaire et sur les avis du SMR pour retenir qu’elle ne présentait aucune incapacité de travail. A cet égard, elle se prévaut d’une lacune d’instruction et fait valoir que son état de santé n’a été évalué qu’au regard des aspects psychiatriques et rhumatologiques, alors qu’il aurait dû faire l’objet d’une appréciation pluridisciplinaire, conformément aux recommandations émises par l’OFSP. Pour sa part, se fondant sur l’avis du SMR, l’intimé estime que les limitations fonctionnelles décrites - à savoir la fatigue, la respiration dysfonctionnelle ainsi que les difficultés attentionnelles et exécutives - ont été analysées et considérées comme insuffisamment significatives pour entraîner une incapacité de travail. Cette appréciation a été partagée tant par l’expert en médecine interne et rhumatologie que par l’expert psychiatre, lesquels disposent l’un et l’autre des compétences expertales requises pour procéder à une telle évaluation, et ce, nonobstant l’étiologie du trouble. c/aa) Il convient ainsi d’examiner la valeur probante de l’expertise bidisciplinaire des Drs N.________ et N.________. Selon la définition donnée par l’Organisation mondiale de la santé, le 6 octobre 2021 (consensus de Delphi), une affection post 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En mars 2022, le groupe de travail post covid-19 - Médecine d'assurance, de l’Universitätsspital de Bâle, a établi un projet de recommandation pour le bilan de médecine d'assurance d’une affection post covid-19 en Suisse. Ce document a été soumis à l’assemblée annuelle de la SIM. Une deuxième version, intégrant les mises à jour scientifiques, a été publiée le 31 juillet 2023 (version 2.0). Il ressort notamment de cette dernière recommandations (cf. ch. 3.2, p. 5)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 covid-19 peut se manifester par des symptômes très divers. De ce fait, en dehors de lésions organiques pour lesquelles elle peut être clairement incriminée, l’affection post covid-19 est encore incomplètement comprise et s’avère multifactorielle. Il est toutefois établi que des séquelles de l’affection post covid-19 peuvent se retrouver dans différents domaines de spécialité (cf. ch. 5, p. 8 ss)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 covid-19 (cf. ch. 5, p. 10).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(cf. ch. 5.3, p. 11). La CIM-11 comporte le code RA02, intitulé « Affection post-covid-19 » , dont il ressort que l’affection post 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 (cf. ch. 2, p. 3). En matière de covid long, le groupe de travail post 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 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 complémentaires éventuelles pour les différents symptômes spécifiques (organes affectés) ainsi que d'une anamnèse liée au poste de travail, réalisée par un tiers (cf. ch. 8.2, p. 14). Si les symptômes persistent pendant plus de douze mois (ou en cas de convalescence après une forme grave, après la fin des mesures thérapeutiques), le groupe de travail préconise une expertise de base en médecine interne/infectiologie et en neurologie/neuropsychologie (cf. ch. 8.2.1, p. 15).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 covid-19, des instruments bien établis, sensibles et spécifiques, instruments servant à vérifier objectivement la plausibilité des troubles dans le cas d’espèce et à déterminer le degré de sévérité des restrictions (cf. ch. 8.2.2, p. 17). c/bb) La Cour de céans observe d’emblée que la procédure suivie, en particulier l’expertise mise en œuvre ne correspond pas aux recommandations en matière de covid long. En effet, à teneur de ces dernières, si les symptômes persistent pendant plus de douze mois, une expertise de base en médecine interne/infectiologie et en neurologie/neuropsychologie est préconisée. Or, en l’occurrence, les symptômes persistaient chez la recourante depuis plus de douze mois lors de l’expertise des Drs N.________ et M.________, en juillet 2024, étant rappelé qu’elle a été testée positive au covid-19 en novembre 2020. Il en résulte que son cas aurait dû faire l’objet d’un examen en neurologie/neuropsychologie. Pourtant, seule une expertise psychiatrique, accompagnée d’un examen neuropsychologique, a été réalisée. Par ailleurs, les recommandations précisent un volet pneumologique à l’expertise, en cas de dyspnée prolongée. A cet égard, on relèvera qu’il ressort des éléments au dossier que l’assurée, lors d’un rapport d’entretien d’évaluation avec l’OAI, a mentionné une dyspnée à l’effort (cf. rapport d’entretien du 02.11.2022), et a consulté plusieurs pneumologues. La Dre C.________, mandatée dans le cadre d’une expertise sollicitée par l’assurance perte de gain, a posé le diagnostic avec effet sur la capacité de travail de covid long de type neurovégétatif avec respiration dysfonctionnelle et fatigue chronique. Elle a précisé que, dans l’activité habituelle, la reprise pouvait être envisagée dès le 1 er décembre 2022 à un taux maximal de 40 % d’un temps plein, soit la moitié du temps habituel de travail de 80 %, avec une augmentation progressive de 10 % par palier de trois mois. A la question de savoir de quelle façon le ou les diagnostics posés influençaient la capacité de travail, elle a répondu que la respiration dysfonctionnelle et la dysfonction neurovégétative entraînaient une dyspnée majeure limitant toute activité physique, y compris les tâches de la vie quotidienne de mère de famille (cf. rapport d’expertise du 19.10.2022, p. 3). A ce titre, ni l’expertise rhumatologique ni l’expertise psychiatrique ne discutent le diagnostic notamment posé par la Dre C.________, ni l’incapacité de travail retenue par cette praticienne. Le Dr E.________ avait lui aussi précédemment posé le diagnostic de dyspnée, toux et fatigue post infection covid (cf. rapport du 22.12.2020). Le Prof. F.________ a indiqué que l’ergospirométrie réalisée le 24 février 2022 montrait très clairement une respiration dysfonctionnelle avec une augmentation anarchique du volume courant et de la fréquence respiratoire durant l’effort, laquelle devait être mise sur le compte du covid long (cf. rapport médical du 14.03.2022). Il a mentionné par ailleurs que la respiration dysfonctionnelle limitait la capacité d’effort de sa patiente (cf. rapport médical du 11.03.2022). Dans les documents médicaux produits devant la Cour de céans, ce spécialiste se rapporte à une consultation effectuée le 6 décembre 2024, soit antérieurement à la décision querellée, ainsi qu’à une ergospirométrie réalisée le 18 décembre 2024. Il y conclut à l’existence d’une dyspnée d’origine fonctionnelle - précisant que le tableau respiratoire décrit est apparu dans les suites immédiates de l’infection au covid-19 - et à l’octroi d’une rente à 100 % relevant qu’il n’existe actuellement pas de traitement thérapeutique efficace permettant de modifier l’évolution naturelle de sa respiration dysfonctionnelle et de lui permettre la reprise d’une quelconque activité professionnelle. Il précisait par ailleurs que le handicap clinique et fonctionnel généré par sa respiration ne lui permettait pas de reprendre son activité d’enseignante puisqu’il ne lui serait jamais possible d’adapter sa fonction ventilatoire pour lui permettre de parler avec confort et à faible demande énergétique (cf. rapport médical du 14.02.2025). On précisera que l’avis de ce spécialiste dûment documenté - lequel se prononce sur la capacité de travail de l’assurée - permet à lui seul de remettre en question, de manière convaincante, les conclusions des experts dont la pneumologie ne relève pas de leurs spécialisations. Le Dr G.________ a, pour sa part, indiqué que l’assurée avait séjourné dans le Service de pneumologie de l’Hôpital [g] du 10 au 12 mai 2022, puis en réhabilitation respiratoire du 13 au 25 mai 2022, et a posé le diagnostic de respiration dysfonctionnelle sur un covid long (cf. rapport médical du 19.07.2022). Le Prof. H.________ et la Dre I.________ - bien qu’ils soient spécialistes en médecine interne - ont également posé le diagnostic d’affection post-covid (covid long ; CIM-11 : RA02), avec notamment une respiration dysfonctionnelle. Ainsi, l’ensemble des spécialistes consultés par la recourante s’accordent à reconnaître l’existence d’une dyspnée, laquelle paraît se prolonger au vu du dernier rapport médical établi par le Prof. F.________. Même si dans le cadre de l’instruction, l’OAI a interpellé le centre de consultation covid long Centre [b] (cf. avis médical du SMR du 31.01.2024), on relèvera que celui-ci n’a pas été en mesure de fournir une appréciation médico-assécurologique complète et précise, tout comme le Dr K.________ (rhumatologue). Dans ces conditions, il appartenait à l’OAI d’éclaircir l’état de fait déterminant avant de rendre sa décision (cf. art. 43 LPGA), en interpellant, par exemple, le Prof. F.________, ou conformément aux recommandations précitées, en mandatant un expert en pneumologie chargé d’examiner le cas de l’assurée. Par ailleurs, l’appréciation du SMR du 11 octobre 2024, sur laquelle s’est fondée l’OAI, selon laquelle les limitations fonctionnelles décrites - à savoir la fatigue, la respiration dysfonctionnelle ainsi que les difficultés attentionnelles et exécutives - auraient été analysées et jugées insuffisamment significatives pour entraîner une incapacité de travail, appréciation partagée tant par l’expert en médecine interne et rhumatologie que par l’expert-psychiatre, tous deux disposant des compétences expertales requises pour procéder à une telle évaluation, et ce nonobstant l’étiologie du trouble, apparaît dépourvu de toute pertinence. En effet, bien que les pneumologues consultés ne se soient, pour la plupart, pas prononcés sur la capacité de travail de la recourante, il demeure que la Dre C.________ avait constaté une incapacité de travail en lien avec un syndrome dyspnéique et que le Prof. F.________ s’est expressément prononcé sur la répercussion de ce diagnostic sur la capacité de travail de la recourante dans son dernier rapport. Or, les deux experts - qui ne sont pas spécialisés en pneumologie - n’ont pas exposé les raisons susceptibles de justifier de s’écarter de l’avis émis par cette spécialiste. En outre, suite aux conclusions du Prof. F.________ produites par la recourante à l’appui de son recours, l’OAI n’a pas jugé utile de solliciter son SMR et de se déterminer à cet égard. Il résulte de ce qui précède que l’expertise bidisciplinaire se trouve, d’une part, contredite par l’avis médical du Prof. F.________ (rapport du 14.02.2025) et, d’autre part, qu’elle ne satisfait pas aux recommandations en vigueur en matière de prise en charge du covid long. Dans ces circonstances, elle ne peut se voir revêtir une pleine valeur probante. Une instruction complémentaire s’impose dès lors. Il appartiendra à l’OAI, s’il entend s’écarter des conclusions du dernier rapport établi par le Prof. F.________, de mettre en œuvre une expertise pluridisciplinaire portant notamment sur la médecine interne/infectiologie, la neurologie/neuropsychologie et la pneumologie, ainsi que sur toute autre spécialité que les experts jugeront nécessaire (cf. ATF 139 V 349 cons. 3.3). Si une expertise est mise en œuvre, elle devra, en particulier, satisfaire aux exigences dégagées par la jurisprudence du Tribunal fédéral en matière d’évaluation des atteintes psychiques (cf. ATF 141 V 281).</w:t>
      </w:r>
    </w:p>
    <w:p>
      <w:r>
        <w:rPr>
          <w:b/>
        </w:rPr>
        <w:t>E. 7</w:t>
      </w:r>
    </w:p>
    <w:p>
      <w:r>
        <w:t>a) Au vu ce qui précède, le recours doit être admis et la décision attaquée annulée, la cause étant renvoyée à l’OAI pour instruction complémentaire au sens des considérants et nouvelle décision. b) Les frais de la procédure, arrêtés à 660 francs, doivent être mis à la charge de l’OAI (art. 61 let. f bis LPGA en relation avec l’art. 69 al. 1 bis LAI). La recourante qui a plaidé avec l’assistance d’un avocat, a droit à des dépens (art. 61 let. g LPGA), dont le montant est défini dans les limites prévues par la loi du 6 novembre 2019 fixant le tarif des frais, des émoluments de chancellerie et des dépens en matière civile, pénale et administrative (LTFrais). A défaut d’un état des honoraires et des frais, les dépens seront fixés sur la base du dossier (art. 64 al. 1 et 2 LTFrais par renvoi de l’art. 67 LTFrais). Tout bien considéré, l'activité déployée par le mandataire, qui représentait déjà l’assurée devant l’OAI et devait avoir pour cette raison une connaissance approfondie du dossier, peut être évaluée à un total de 8 heures.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w:t>
      </w:r>
    </w:p>
    <w:p>
      <w:r>
        <w:rPr>
          <w:b/>
        </w:rPr>
        <w:t>E. 29</w:t>
      </w:r>
    </w:p>
    <w:p>
      <w:r>
        <w:t>al. 2 Cst. féd.) sous l'angle d'un défaut de motivation. Elle reproche à lOAI davoir écarté sa réquisition visant à mettre en uvre une expertise pluridisciplinaire au seul motif que lexpertise bidisciplinaire réalisée avait une pleine valeur probante et sans exposer les raisons pour lesquelles les recommandations de lOffice fédéral de la santé publique (ci-après : OFSP) en matière de « covid long » étaient ignorées. La violation du droit d'être entendue, telle quinvoquée par la recourante, soit une violation de son droit à la preuve na pas de portée propre par rapport au grief tiré d'une violation du droit. Ce grief fera lobjet, en tant que besoin, dun examen sur le fond ci-dessous.</w:t>
      </w:r>
    </w:p>
    <w:p>
      <w:r>
        <w:t>4.Le litige porte sur le bien-fondé de la décision du 13 décembre 2024, par laquelle lOAI a refusé le droit de la recourante à une rentre dinvalidité, au motif que sa capacité de travail est entière, depuis toujours, dans toutes activités correspondant à ses aptitudes, compétences et motivations.</w:t>
      </w:r>
    </w:p>
    <w:p>
      <w:r>
        <w:t>a) 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t>b) Selon larticle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et si, au terme de cette année, il est invalide (art. 8 LPGA) à 40 % au moins (let. c). Lorsque lassuré exerce une activité lucrative à temps partiel ou travaille sans être rémunéré dans lentreprise de son conjoint, le taux dinvalidité pour cette activité est évalué selon larticle 16 LPGA. Sil accomplit ses travaux habituels, le taux dinvalidité pour cette activité est fixé selon lalinéa 2. Dans ce cas, les parts respectives de lactivité lucrative ou du travail dans lentreprise du conjoint et de laccomplissement des travaux habituels sont déterminées ; le taux dinvalidité est calculé dans les deux domaines dactivité (art. 28a al. 3 LAI).</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références citées).</w:t>
      </w:r>
    </w:p>
    <w:p>
      <w:r>
        <w:t>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références citées).</w:t>
      </w:r>
    </w:p>
    <w:p>
      <w:r>
        <w:t>b/aa)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 Riemer-Kafka [Edit.],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Commentaire LAI, ad art. 57 n° 48). Toutefois, le simple fait qu'un certificat médical ou une expertise soit établi à la demande d'une partie et soit produit pendant la procédure ne justifie pas en soi de douter de sa valeur probante (ATF 125 V 351 cons. 3b/dd et les références citées).</w:t>
      </w:r>
    </w:p>
    <w:p>
      <w:r>
        <w:t>b/bb) 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t>b/cc)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références citées).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b/dd) Dans un arrêt récent, le Tribunal fédéral a reconnu la nécessité de prendre en considération un diagnostic de syndrome post-covid, pour autant quil ait été posé par un médecin, dans lexamen de la capacité de travail dun assuré (arrêt du TF du 06.11.2023 [9C_63/2023] cons. 5.1). Par ailleurs, plusieurs auteurs dans la doctrine ont estimé que la partie non somatique du covid long devait être traitée de manière similaire aux maladies psychiques et aux troubles dits non objectivables (Dupont, Etat de droit et état durgence : perspectives sous langle du droit des assurances, 2023, in : SJ 2023 p. 345 ; Egli/Kradolfer/Vokinger, Long Covid, in : RSAS pp. 176 et 182-183). Selon la jurisprudence,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145 V 361 cons. 3.1, 141 V 281 cons. 2, 3.4 à 3.6, 4.1). Le point de vue de ces auteurs est par ailleurs corroboré par le Groupe de travail post-Covid-19 commun à lUniversitätsspital de Bâle et la Swiss Insurance Medicine, dans le document « Recommandation pour le bilan de médecine dassurance dune affection post-Covid-19 en Suisse (Version 2.0)», daté du 31 juillet 2023. Cette publication recommande en effet une expertise polydisciplinaire en médecine interne/infectiologie et neurologie/neuropsychologie, si les symptômes persistent pendant plus de 12 mois (ou en cas de convalescence après une forme grave, après la fin des mesures thérapeutiques) (arrêt du TAF du 25.06.2024 [C-4115/2023] cons. 11.1).</w:t>
      </w:r>
    </w:p>
    <w:p>
      <w:r>
        <w:t>6.a) En lespèce la décision litigieuse fait suite aux rapports de synthèse des 12 août et 11 octobre 2024 du SMR, lequel conclut à une capacité de travail de 100 %, depuis toujours, dans toutes activités correspondant aux aptitudes, compétences et motivations de lassurée. Cette conclusion est basée sur lexpertise bidisciplinaire effectuée par les Drs N.________ et M._______(cf. rapport dexpertise du 02.08.2024). Les experts nont retenu aucun diagnostic incapacitant sur les plans somatique et psychique, ni constaté de limitations fonctionnelles. Au titre de diagnostic non incapacitant, ils ont retenu un status après infection au SARS-COV-2, début novembre 2020, suivi dun syndrome de covid long (CIM-11 : RA02).</w:t>
      </w:r>
    </w:p>
    <w:p>
      <w:r>
        <w:t>b) Lassurée reproche à lOAI de sêtre basé sur le rapport dexpertise bidisciplinaire et sur les avis du SMR pour retenir quelle ne présentait aucune incapacité de travail. A cet égard, elle se prévaut dune lacune dinstruction et fait valoir que son état de santé na été évalué quau regard des aspects psychiatriques et rhumatologiques, alors quil aurait dû faire lobjet dune appréciation pluridisciplinaire, conformément aux recommandations émises par lOFSP. Pour sa part, se fondant sur lavis du SMR, lintimé estime que les limitations fonctionnelles décrites - à savoir la fatigue, la respiration dysfonctionnelle ainsi que les difficultés attentionnelles et exécutives - ont été analysées et considérées comme insuffisamment significatives pour entraîner une incapacité de travail. Cette appréciation a été partagée tant par lexpert en médecine interne et rhumatologie que par lexpert psychiatre, lesquels disposent lun et lautre des compétences expertales requises pour procéder à une telle évaluation, et ce, nonobstant létiologie du trouble.</w:t>
      </w:r>
    </w:p>
    <w:p>
      <w:r>
        <w:t>c/aa) Il convient ainsi dexaminer la valeur probante de lexpertise bidisciplinaire des Drs N.________ et N.________.</w:t>
      </w:r>
    </w:p>
    <w:p>
      <w:r>
        <w:t>Selon la définition donnée par lOrganisation mondiale de la santé, le 6 octobre 2021 (consensus de Delphi), une affection post 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En mars 2022, le groupe de travail post covid-19 - Médecine d'assurance, de lUniversitätsspital de Bâle, a établi un projet de recommandation pour le bilan de médecine d'assurance dune affection post covid-19 en Suisse. Ce document a été soumis à lassemblée annuelle de la SIM. Une deuxième version, intégrant les mises à jour scientifiques, a été publiée le 31 juillet 2023 (version 2.0). Il ressort notamment de cette dernière recommandations (cf. ch. 3.2, p. 5)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 covid-19 peut se manifester par des symptômes très divers. De ce fait, en dehors de lésions organiques pour lesquelles elle peut être clairement incriminée, laffection post covid-19 est encore incomplètement comprise et savère multifactorielle. Il est toutefois établi que des séquelles de laffection post covid-19 peuvent se retrouver dans différents domaines de spécialité (cf. ch. 5, p. 8 ss)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 covid-19 (cf. ch. 5, p. 10).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(cf. ch. 5.3, p. 11). La CIM-11 comporte le code RA02, intitulé«Affection post-covid-19», dont il ressort que laffection post 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 (cf. ch. 2, p. 3).</w:t>
      </w:r>
    </w:p>
    <w:p>
      <w:r>
        <w:t>En matière de covid long, le groupe de travail post 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 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 complémentaires éventuelles pour les différents symptômes spécifiques (organes affectés) ainsi que d'une anamnèse liée au poste de travail, réalisée par un tiers (cf. ch. 8.2, p. 14). Si les symptômes persistent pendant plus de douze mois (ou en cas de convalescence après une forme grave, après la fin des mesures thérapeutiques), le groupe de travail préconise une expertise de base en médecine interne/infectiologie et en neurologie/neuropsychologie (cf. ch. 8.2.1, p. 15).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(cf. ch. 8.2.2, p. 17).</w:t>
      </w:r>
    </w:p>
    <w:p>
      <w:r>
        <w:t>c/bb) La Cour de céans observe demblée que la procédure suivie, en particulier lexpertise mise en uvre ne correspond pas aux recommandations en matière de covid long. En effet, à teneur de ces dernières, si les symptômes persistent pendant plus de douze mois, une expertise de base en médecine interne/infectiologie et en neurologie/neuropsychologie est préconisée. Or, en loccurrence, les symptômes persistaient chez la recourante depuis plus de douze mois lors de lexpertise des Drs N.________ et M.________, en juillet 2024, étant rappelé quelle a été testée positive au covid-19 en novembre 2020. Il en résulte que son cas aurait dû faire lobjet dun examen en neurologie/neuropsychologie. Pourtant, seule une expertise psychiatrique, accompagnée dun examen neuropsychologique, a été réalisée.</w:t>
      </w:r>
    </w:p>
    <w:p>
      <w:r>
        <w:t>Par ailleurs, les recommandations précisent un volet pneumologique à lexpertise, en cas de dyspnée prolongée. A cet égard, on relèvera quil ressort des éléments au dossier que lassurée, lors dun rapport dentretien dévaluation avec lOAI, a mentionné une dyspnée à leffort (cf. rapport dentretien du 02.11.2022), et a consulté plusieurs pneumologues. LaDre C.________, mandatée dans le cadre dune expertise sollicitée par lassurance perte de gain, a posé le diagnostic avec effet sur la capacité de travail de covid long de type neurovégétatif avec respiration dysfonctionnelle et fatigue chronique. Elle a précisé que, dans lactivité habituelle, la reprise pouvait être envisagée dès le 1erdécembre 2022 à un taux maximal de 40 % dun temps plein, soit la moitié du temps habituel de travail de 80 %, avec une augmentation progressive de 10 % par palier de trois mois. A la question de savoir de quelle façon le ou les diagnostics posés influençaient la capacité de travail, elle a répondu que la respiration dysfonctionnelle et la dysfonction neurovégétative entraînaient une dyspnée majeure limitant toute activité physique, y compris les tâches de la vie quotidienne de mère de famille (cf. rapport dexpertise du 19.10.2022, p. 3). A ce titre,ni lexpertise rhumatologique ni lexpertise psychiatrique ne discutent le diagnostic notamment posé par la Dre C.________, ni lincapacité de travail retenue par cette praticienne.Le Dr E.________ avait lui aussi précédemment posé le diagnostic de dyspnée, toux et fatigue post infection covid (cf. rapport du 22.12.2020). Le Prof. F.________ a indiqué que lergospirométrie réalisée le 24 février 2022 montrait très clairement une respiration dysfonctionnelle avec une augmentation anarchique du volume courant et de la fréquence respiratoire durant leffort, laquelle devait être mise sur le compte du covid long (cf. rapport médical du 14.03.2022). Il a mentionné par ailleurs que la respiration dysfonctionnelle limitait la capacité deffort de sa patiente (cf. rapport médical du 11.03.2022). Dans les documents médicaux produits devant la Cour de céans, ce spécialiste se rapporte à une consultation effectuée le 6 décembre 2024, soit antérieurement à la décision querellée, ainsi quà une ergospirométrie réalisée le 18 décembre 2024. Il y conclut à lexistence dune dyspnée dorigine fonctionnelle - précisant que le tableau respiratoire décrit est apparu dans les suites immédiates de linfection au covid-19 - et à loctroi dune rente à 100 % relevant quil nexiste actuellement pas de traitement thérapeutique efficace permettant de modifier lévolution naturelle de sa respiration dysfonctionnelle et de lui permettre la reprise dune quelconque activité professionnelle. Il précisait par ailleurs que le handicap clinique et fonctionnel généré par sa respiration ne lui permettait pas de reprendre son activité denseignante puisquil ne lui serait jamais possible dadapter sa fonction ventilatoire pour lui permettre de parler avec confort et à faible demande énergétique (cf. rapport médical du 14.02.2025). On précisera que lavis de ce spécialiste dûment documenté - lequel se prononce sur la capacité de travail de lassurée - permet à lui seul de remettre en question, de manière convaincante, les conclusions des experts dont la pneumologie ne relève pas de leurs spécialisations. Le Dr G.________ a, pour sa part, indiqué que lassurée avait séjourné dans le Service de pneumologie de lHôpital [g] du 10 au 12 mai 2022, puis en réhabilitation respiratoire du 13 au 25 mai 2022, et a posé le diagnostic de respiration dysfonctionnelle sur un covid long (cf. rapport médical du 19.07.2022). Le Prof. H.________ et la Dre I.________ - bien quils soient spécialistes en médecine interne - ont également posé le diagnostic daffection post-covid (covid long ; CIM-11 : RA02), avec notamment une respiration dysfonctionnelle. Ainsi, lensemble des spécialistes consultés par la recourante saccordent à reconnaître lexistence dune dyspnée, laquelle paraît se prolonger au vu du dernier rapport médical établi par le Prof. F.________. Même si dans le cadre de linstruction, lOAI a interpellé le centre de consultation covid long Centre [b] (cf. avis médical du SMR du 31.01.2024), on relèvera que celui-ci na pas été en mesure de fournir une appréciation médico-assécurologique complète et précise, tout comme le Dr K.________ (rhumatologue). Dans ces conditions, il appartenait à lOAI déclaircir létat de fait déterminant avant de rendre sa décision (cf. art. 43 LPGA), en interpellant, par exemple, le Prof. F.________, ou conformément aux recommandations précitées, en mandatantun expert en pneumologie chargé dexaminer le cas de lassurée. Par ailleurs, lappréciation du SMR du 11 octobre 2024, sur laquelle sest fondée lOAI, selon laquelle les limitations fonctionnelles décrites - à savoir la fatigue, la respiration dysfonctionnelle ainsi que les difficultés attentionnelles et exécutives - auraient été analysées et jugées insuffisamment significatives pour entraîner une incapacité de travail, appréciation partagée tant par lexpert en médecine interne et rhumatologie que par lexpert-psychiatre, tous deux disposant des compétences expertales requises pour procéder à une telle évaluation, et ce nonobstant létiologie du trouble, apparaît dépourvu de toute pertinence. En effet, bien que les pneumologues consultés ne se soient, pour la plupart, pas prononcés sur la capacité de travail de la recourante, il demeure que la Dre C.________ avait constaté une incapacité de travail en lien avec un syndrome dyspnéique et que le Prof. F.________ sest expressément prononcé sur la répercussion de ce diagnostic sur la capacité de travail de la recourante dans son dernier rapport. Or, les deux experts - qui ne sont pas spécialisés en pneumologie - nont pas exposé les raisons susceptibles de justifier de sécarter de lavis émis par cette spécialiste. En outre, suite aux conclusions du Prof. F.________ produites par la recourante à lappui de son recours, lOAI na pas jugé utile de solliciter son SMR et de se déterminer à cet égard.</w:t>
      </w:r>
    </w:p>
    <w:p>
      <w:r>
        <w:t>Il résulte de ce qui précède que lexpertise bidisciplinaire se trouve, dune part, contredite par lavis médical du Prof. F.________ (rapport du 14.02.2025) et, dautre part, quelle ne satisfait pas aux recommandations en vigueur en matière de prise en charge du covid long. Dans ces circonstances, elle ne peut se voir revêtir une pleine valeur probante. Une instruction complémentaire simpose dès lors. Il appartiendra à lOAI, sil entend sécarter des conclusions du dernier rapport établi par le Prof. F.________, de mettre en uvre une expertise pluridisciplinaire portant notamment sur la médecine interne/infectiologie, la neurologie/neuropsychologie et la pneumologie, ainsi que sur toute autre spécialité que les experts jugeront nécessaire (cf. ATF 139 V 349 cons. 3.3). Si une expertise est mise en uvre, elle devra, en particulier, satisfaire aux exigences dégagées par la jurisprudence du Tribunal fédéral en matière dévaluation des atteintes psychiques (cf. ATF 141 V 281).</w:t>
      </w:r>
    </w:p>
    <w:p>
      <w:r>
        <w:t>7.a) Au vu ce qui précède, le recours doit être admis et la décision attaquée annulée, la cause étant renvoyée à lOAI pour instruction complémentaire au sens des considérants et nouvelle décision.</w:t>
      </w:r>
    </w:p>
    <w:p>
      <w:r>
        <w:t>b)Les frais de la procédure, arrêtés à 660 francs, doivent être mis à la charge de lOAI (art. 61 let. fbisLPGA en relation avec lart. 69 al. 1bisLAI).</w:t>
      </w:r>
    </w:p>
    <w:p>
      <w:r>
        <w:t>La recourante qui a plaidé avec lassistance dun avocat, a droit à des dépens (art. 61 let. g LPGA), dont le montant est défini dans les limites prévues par la loi du 6 novembre 2019 fixant le tarif des frais, des émoluments de chancellerie et des dépens en matière civile, pénale et administrative (LTFrais). A défaut dun état des honoraires et des frais, les dépens seront fixés sur la base du dossier (art. 64 al. 1 et 2 LTFrais par renvoi de lart. 67 LTFrais). Tout bien considéré, l'activité déployée par le mandataire, qui représentait déjà lassurée devant lOAI et devait avoir pour cette raison une connaissance approfondie du dossier, peut être évaluée à un total de 8 heures.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w:t>
      </w:r>
    </w:p>
    <w:p>
      <w:r>
        <w:t>Par ces motifs,la Cour de droit public</w:t>
      </w:r>
    </w:p>
    <w:p>
      <w:r>
        <w:t>1.Admet le recours.</w:t>
      </w:r>
    </w:p>
    <w:p>
      <w:r>
        <w:t>2.Annule la décision de lOAI du 13 décembre 2024 et lui renvoie la cause pour instruction complémentaire au sens des considérants et nouvelle décision.</w:t>
      </w:r>
    </w:p>
    <w:p>
      <w:r>
        <w:t>3.Met à la charge de lOAI les frais de la présente procédure par 660 francs.</w:t>
      </w:r>
    </w:p>
    <w:p>
      <w:r>
        <w:t>4.Ordonne la restitution à la recourante de son avance de frais.</w:t>
      </w:r>
    </w:p>
    <w:p>
      <w:r>
        <w:t>5.Alloue à la recourante une indemnité de dépens de 2'853.85 francs à la charge de lintimé.</w:t>
      </w:r>
    </w:p>
    <w:p>
      <w:r>
        <w:t>Neuchâtel, le 19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