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CDP.2025.259 vom 22. April 2026</w:t>
      </w:r>
    </w:p>
    <w:p>
      <w:r>
        <w:t>NE Tribunal cantonal, 2026-04-22, FR</w:t>
      </w:r>
    </w:p>
    <w:p>
      <w:r>
        <w:rPr>
          <w:b/>
        </w:rPr>
        <w:t xml:space="preserve">Quelle: </w:t>
      </w:r>
      <w:r>
        <w:t>https://mcp.opencaselaw.ch/entscheid/ne_gerichte_CDP.2025.259</w:t>
      </w:r>
    </w:p>
    <w:p>
      <w:r>
        <w:t>FR: NE_GERICHTE CDP.2025.259 du 22 avril 2026</w:t>
      </w:r>
    </w:p>
    <w:p>
      <w:r>
        <w:t>IT: NE_GERICHTE CDP.2025.259 del 22 aprile 2026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LACI et la réf. cit.).</w:t>
      </w:r>
    </w:p>
    <w:p>
      <w:r>
        <w:t>4.En lespèce, le recourant a effectué non pas sept mais six recherches demploi durant le délai de congé dun mois, lesquelles sétalent entre les 8 et 17 janvier 2025 (cf. formulaire de recherches demploi y relatif). Quel que soit ce nombre, il est inférieur aux exigences jurisprudentielles. Par ailleurs, les arguments avancés par lintéressé ne sauraient lexonérer de ses obligations. En effet, et bien quil se prévale davoir été malade du 8 au 10 janvier 2025, certificat médical dincapacité totale de travail à lappui, son état de santé ne la manifestement pas empêché deffectuer, durant ce laps de temps, quatre visites personnelles à titre de recherches demploi. Dans lhypothèse, non réalisée en lespèce, dun empêchement dû à la maladie, il nen demeure pas moins quil aurait pu, ultérieurement, pallier le retard pris dans ses postulations, à défaut de toute argumentation contraire en ce sens. De plus, la Cour de céans constate quaucune recherche demploi na été faite directement après la réception du courrier de licenciement du 17 décembre 2024. Même si lon doit convenir que cette période est peu propice à la recherche dun emploi, labsence de toute démarche nest ni justifiable ni justifiée, ce dautant moins lorsque le délai de congé est de courte durée, en loccurrence un mois (cf. également arrêt du TF du 10.01.2020 [8C_708/2019] cons. 6.3 concernant lobligation de postuler régulièrement). Dans ces circonstances, largument avancé par le recourant selon lequel ses recherches demploi atteignent un nombre suffisant est dénué de pertinence. Quant au manque dinformation quil allègue en raison du fait quil naurait rencontré sa conseillère ORP quen date du 22 janvier 2025, il ne saurait être considéré au vu de la jurisprudence précitée. Pour ce qui est enfin de sa maîtrise imparfaite du français  dont il prétend pourtant avoir de bonnes connaissances tant orales quécrites (cf. CV),il nexplique pas en quoi elle laurait entravé dans ses recherches demploi. Une suspension de son droit à lindemnité de chômage est donc justifiée, indépendamment de la qualité des recherches demploi effectuées durant son délai de congé. Reste encore à examinersi sa durée peut également être confirmée.</w:t>
      </w:r>
    </w:p>
    <w:p>
      <w:r>
        <w:t>5.a) Selon larticle 30 al. 3 LACI, la durée de la suspension du droit à l'indemnité de chômage est proportionnelle à la gravité de la faute. En vertu de larticle 45 al. 3 let. a OACI, elle est de 1 à 15 jours en cas de faute légère. En tant qu'autorité de surveillance, le SECO a adopté un barème (indicatif) à l'intention des organes d'exécution. Un tel barème constitue un instrument précieux pour ces organes d'exécution lors de la fixation de la sanction et contribue à une application plus égalitaire dans les différents cantons. Cela ne dispense cependant pas les autorités décisionnelles d'apprécier le comportement de l'assuré compte tenu de toutes les circonstances  tant objectives que subjectives  du cas concret, notamment des circonstances personnelles, en particulier celles qui ont trait au comportement de l'intéressé au regard de ses devoirs généraux d'assuré qui fait valoir son droit à des prestations (arrêt du TF du 19.10.2018 [8C_758/2017] cons. 4.1). Le barème du SECO prévoit, en cas de recherches insuffisantes pendant le délai de congé dun mois, une suspension de 3 à 4 jours (Bulletin LACI IC, D79).</w:t>
      </w:r>
    </w:p>
    <w:p>
      <w:r>
        <w:t>b) Dans le cas présent, la sanction prononcée par l'intimé dun jour de suspension de l'indemnité de chômage correspond à une faute légère de degré faible et est même inférieure à la fourchette préconisée par le barème du SECO. Sa durée apparaît ainsi appropriée à la faute, voire généreuse, de sorte quelle ne prête pas le flanc à la critique.</w:t>
      </w:r>
    </w:p>
    <w:p>
      <w:r>
        <w:t>6.Pour toutes ces raisons, le recours doit être rejeté et la décision attaquée confirmée.</w:t>
      </w:r>
    </w:p>
    <w:p>
      <w:r>
        <w:t>Il est statué sans frais, la loi spéciale n'en prévoyant pas (art. 61 let. fbisLPGA), et sans dépens (art. 61 let. g LPGAa contrario).</w:t>
      </w:r>
    </w:p>
    <w:p>
      <w:r>
        <w:t>Par ces motifs,la Cour de droit public</w:t>
      </w:r>
    </w:p>
    <w:p>
      <w:r>
        <w:t>1.Rejette le recours.</w:t>
      </w:r>
    </w:p>
    <w:p>
      <w:r>
        <w:t>2.Statue sans frais.</w:t>
      </w:r>
    </w:p>
    <w:p>
      <w:r>
        <w:t>3.N'alloue pas de dépens.</w:t>
      </w:r>
    </w:p>
    <w:p>
      <w:r>
        <w:t>Neuchâtel, le 22 avril 2026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