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CDP.2025.258 vom 22. April 2026</w:t>
      </w:r>
    </w:p>
    <w:p>
      <w:r>
        <w:t>NE Tribunal cantonal, 2026-04-22, FR</w:t>
      </w:r>
    </w:p>
    <w:p>
      <w:r>
        <w:rPr>
          <w:b/>
        </w:rPr>
        <w:t xml:space="preserve">Quelle: </w:t>
      </w:r>
      <w:r>
        <w:t>https://mcp.opencaselaw.ch/entscheid/ne_gerichte_CDP.2025.258</w:t>
      </w:r>
    </w:p>
    <w:p>
      <w:r>
        <w:t>FR: NE_GERICHTE CDP.2025.258 du 22 avril 2026</w:t>
      </w:r>
    </w:p>
    <w:p>
      <w:r>
        <w:t>IT: NE_GERICHTE CDP.2025.258 del 22 aprile 2026</w:t>
      </w:r>
    </w:p>
    <w:p>
      <w:pPr>
        <w:pStyle w:val="Heading2"/>
      </w:pPr>
      <w:r>
        <w:t>Volltext</w:t>
      </w:r>
    </w:p>
    <w:p>
      <w:r>
        <w:t>A.Par courrier du 17 décembre 2024, A.________, né en 1991, a été licencié avec effet au 17 janvier 2025 et a sollicité lindemnité de chômage à partir de cette date auprès de laCaisse cantonale neuchâteloise dassurance-chômage (ci-après : CCNAC). Par décision du 20 mars 2025, lOffice des relations et des conditions de travail (ORCT) du Service de lemploi a suspendu son droit à lindemnité de chômage durant un jour pour insuffisance de recherches de travail pour le mois de janvier 2025. Il a retenu une faute légère, au motif que lassuré navait pas effectué de recherches demploi qualitativement satisfaisantes. Après contestation de lintéressé, lORCT a reconnu que sur les dix postulations déposées en janvier, seules six remplissaient les critères de validité et a confirmé la sanction prononcée par décision sur opposition du 2 juillet 2025.</w:t>
      </w:r>
    </w:p>
    <w:p>
      <w:r>
        <w:t>B.A.________recourt devant la Cour de droit public du Tribunal cantonal contre cette décision sur opposition et conclut à son annulation. Il se prévaut de sa bonne foi et du fait que sur ses quatre recherches demploi effectuées entre les 23 et 29 janvier 2025, deux ont été signées par la personne responsable, les deux autres ayant fait lobjet dune réponse par mail. Il produit deux courriels datés des 8 et 14 juillet 2025.</w:t>
      </w:r>
    </w:p>
    <w:p>
      <w:r>
        <w:t>C.Sans formuler dobservations, lORCT conclut au rejet du recours.</w:t>
      </w:r>
    </w:p>
    <w:p>
      <w:r>
        <w:t>C O N S I D E R A N T</w:t>
      </w:r>
    </w:p>
    <w:p>
      <w:r>
        <w:t>en droit</w:t>
      </w:r>
    </w:p>
    <w:p>
      <w:r>
        <w:t>1.Interjeté dans les formes et délai légaux, le recours est recevable.</w:t>
      </w:r>
    </w:p>
    <w:p>
      <w:r>
        <w:t>2.a)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144 V 210 cons. 4.3.1 et 131 V 242 cons. 2.1 et les réf. cit.). Ils peuvent cependant être pris en considération dans la mesure où ils sont étroitement liés à l'objet du litige et de nature à influencer l'appréciation au moment où la décision attaquée a été rendue (arrêts du TF des 05.08.2019 [8C_217/2019] cons. 3 et 25.07.2018 [9C_269/2018] cons. 4.2).</w:t>
      </w:r>
    </w:p>
    <w:p>
      <w:r>
        <w:t>b) En loccurrence, les courriels des 8 et 14 juillet 2025 ont trait à des postulations antérieures à la décision litigieuse, de sorte quils doivent être considérés.</w:t>
      </w:r>
    </w:p>
    <w:p>
      <w:r>
        <w:t>3.En vertu de larticle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sous peine dêtre sanctionné par une suspension de son droit à lindemnité de chômage (arrêt du TF du 15.07.2016 [8C_854/2015] cons. 3.1 ; cf. aussi art. 30 al. 1 let. c LACI).</w:t>
      </w:r>
    </w:p>
    <w:p>
      <w:r>
        <w:t>Pour trancher le point de savoir si lassuré a fait des efforts suffisants pour trouver un travail convenable, il faut tenir compte aussi bien de la quantité que de la qualité des démarches entreprises (ATF 124 V 225 cons. 4a). Sur le plan quantitatif, la pratique administrative exige dix à douze offres demploi par mois en moyenne (ATF 139 V 524 cons. 2.1.4). On ne peut cependant pas sen tenir de manière schématique à une limite purement quantitative et il faut bien plutôt examiner, au regard des circonstances concrètes, la qualité des démarches (arrêt du TF du 08.01.2018 [8C_737/2017] cons. 2.2 et les réf. cit. ;Rubin, Commentaire de la loi sur lassurance-chômage, 2014, n. 26 ad art. 17 LACI).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LACI IC, B316).</w:t>
      </w:r>
    </w:p>
    <w:p>
      <w:r>
        <w:t>On rappellera enfin quil appartient à lassuré de prouver quil a effectué des recherches demploi, en remettant à lORP des copies des lettres de postulation et des éventuelles réponses, ainsi que les timbres des entreprises sollicitées. Sont considérées comme étant inexistantes les recherches demploi ne comprenant ni timbre ni autres justificatifs (Rubin, op. cit., n°28 ad art. 17 LACI). Les exigences posées à lassuré sont rappelées dans tous les formulaires de recherches demploi ; il y est expressément mentionné que, pour chaque période de contrôle (mois civil), la personne assurée doit fournir à loffice compétent au plus tard le 5 du mois suivant, par le biais dun formulaire, la preuve écrite des efforts quelle entreprend pour chercher du travail (art. 26 OACI).</w:t>
      </w:r>
    </w:p>
    <w:p>
      <w:r>
        <w:t>4.Le principe inquisitoire, applicable en droit des assurances sociales, dispense les parties de l'obligation de prouver, mais ne les libère pas du fardeau de la preuve :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En pareil cas, l'administration est fondée à considérer que les pièces ne lui sont pas parvenues, ou pas en temps utile, et à en tirer les conséquences juridiques sur les droits de l'assuré (arrêt du TF du16.04.2014 [8C_537/2013]cons. 2 et réf. cit.). La sanction se justifie dès le premier manquement et cela sans exception (Rubin, op. cit., n. 30 ad art. 17 LACI et les réf. cit.).</w:t>
      </w:r>
    </w:p>
    <w:p>
      <w:r>
        <w:t>5.En lespèce, il est admis que le recourant a effectué quatre recherches demploi entre les 23 et 29 janvier 2025. Contrairement à ce que lintimé retient, celles faites jusquau 17 janvier 2025, date correspondant au terme du délai de congé ensuite de la résiliation des rapports de travail nont pas à être considérées (cf.Rubin, op. cit., n°24 ad art. 17 LACI en cas de période de contrôle incomplète)et font du reste lobjet dune autre procédure (CDP.2025.259 du 22.04.2026). Reste à savoir si ces quatre démarches peuvent être prises en compte.</w:t>
      </w:r>
    </w:p>
    <w:p>
      <w:r>
        <w:t>Concernant ses deux recherches demploi effectuées par courriel, le recourant a inscrit à chaque fois la mention «par email» sur le formulaire de recherches demploi pour le mois de janvier 2025. Or, une telle annotation ne suffit pas pour démontrer de quelconques démarches en ce sens. Certes produit-il par-devant la Cour de céans deux courriels datés des 8 et 14 juillet 2025 émanant des deux entreprises contactées. Cela étant, ces éléments de preuves (ou du moins une copie de ces postulations) auraient dû être déposées auprès de lintimé au plus tard le 5 février 2025, conformément aux exigences légales, lesquelles ressortent aussi du formulaire précité. La bonne foi invoquée par le recourant se heurte par ailleurs à linformation figurant sur ledit formulaire, de sorte quil ne saurait en tirer un quelconque droit. Lintimé était ainsi fondé à ne pas tenir compte de ces postulations. Dès lors que deux des quatre recherches demploi doivent être considérées comme inexistantes, soit la moitié des démarches entreprises, nul nest besoin de sattarder sur celles effectuées par visite personnelle, une sanction étant justifiée pour ce seul motif. Reste encore à examiner si sa durée peut également être confirmée.</w:t>
      </w:r>
    </w:p>
    <w:p>
      <w:r>
        <w:t>6.a) Selon larticle 30 al. 3 LACI, la durée de la suspension du droit à l'indemnité de chômage est proportionnelle à la gravité de la faute. En vertu de larticle 45 al. 3 let. a OACI, elle est de 1 à 15 jours en cas de faute légère.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subjectivesdu cas concret, notamment des circonstances personnelles, en particulier celles qui ont trait au comportement de l'intéressé au regard de ses devoirs généraux d'assuré qui fait valoir son droit à des prestations (arrêt du TF du 19.10.2018 [8C_758/2017] cons. 4.1). Le barème du SECO prévoit, en cas de recherches insuffisantes pendant la période de contrôle, une suspension de 3 à 4 jours (Bulletin LACI IC, D79).</w:t>
      </w:r>
    </w:p>
    <w:p>
      <w:r>
        <w:t>b) Dans le cas présent, la sanction prononcée par l'intimé dun jour de suspension de l'indemnité de chômage correspond à une faute légère de degré faible et est même inférieure à la fourchette préconisée par le barème du SECO. Sa durée apparaît ainsi appropriée à la faute, voire généreuse, de sorte quelle ne prête pas le flanc à la critique.</w:t>
      </w:r>
    </w:p>
    <w:p>
      <w:r>
        <w:t>7.Pour toutes ces raisons, le recours doit être rejeté et la décision attaquée confirmée.</w:t>
      </w:r>
    </w:p>
    <w:p>
      <w:r>
        <w:t>Il est statué sans frais, la loi spéciale n'en prévoyant pas (art. 61 let. fbisLPGA), et sans dépens (art. 61 let. g LPGAa contrario).</w:t>
      </w:r>
    </w:p>
    <w:p>
      <w:r>
        <w:t>Par ces motifs,la Cour de droit public</w:t>
      </w:r>
    </w:p>
    <w:p>
      <w:r>
        <w:t>1.Rejette le recours.</w:t>
      </w:r>
    </w:p>
    <w:p>
      <w:r>
        <w:t>2.Statue sans frais.</w:t>
      </w:r>
    </w:p>
    <w:p>
      <w:r>
        <w:t>3.N'alloue pas de dépens.</w:t>
      </w:r>
    </w:p>
    <w:p>
      <w:r>
        <w:t>Neuchâtel, le 22 avril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