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CDP.2025.193 vom 11. November 2025</w:t>
      </w:r>
    </w:p>
    <w:p>
      <w:r>
        <w:t>NE Tribunal cantonal, 2025-11-11, FR</w:t>
      </w:r>
    </w:p>
    <w:p>
      <w:r>
        <w:rPr>
          <w:b/>
        </w:rPr>
        <w:t xml:space="preserve">Quelle: </w:t>
      </w:r>
      <w:r>
        <w:t>https://mcp.opencaselaw.ch/entscheid/ne_gerichte_CDP.2025.193</w:t>
      </w:r>
    </w:p>
    <w:p>
      <w:r>
        <w:t>FR: NE_GERICHTE CDP.2025.193 du 11 novembre 2025</w:t>
      </w:r>
    </w:p>
    <w:p>
      <w:r>
        <w:t>IT: NE_GERICHTE CDP.2025.193 del 11 novembre 2025</w:t>
      </w:r>
    </w:p>
    <w:p>
      <w:pPr>
        <w:pStyle w:val="Heading2"/>
      </w:pPr>
      <w:r>
        <w:t>Erwägungen</w:t>
      </w:r>
    </w:p>
    <w:p>
      <w:r>
        <w:rPr>
          <w:b/>
        </w:rPr>
        <w:t>E. 1</w:t>
      </w:r>
    </w:p>
    <w:p>
      <w:r>
        <w:t>Interjeté dans les formes et délai légaux, le recours est recevable.</w:t>
      </w:r>
    </w:p>
    <w:p>
      <w:r>
        <w:rPr>
          <w:b/>
        </w:rPr>
        <w:t>E. 2</w:t>
      </w:r>
    </w:p>
    <w:p>
      <w:r>
        <w:t>a) Aux termes de l’article 6 al. 1 LAA, sauf disposition contraire de la loi,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Le seul fait que des symptômes douloureux ne se sont manifestés qu'après la survenance d'un accident ne suffit pas à établir un rapport de causalité naturelle avec cet accident (raisonnement « post hoc, ergo propter hoc » ). Il convient en principe d'en rechercher l'étiologie et de vérifier, sur cette base, l'existence du rapport de causalité avec l'événement assuré (ATF 129 V 17 7 ; arrêt du TF du 04.12.2020 [8C_117/2020 cons. 3.1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Dans le domaine de l’assurance-accidents obligatoire, cependant, en cas d’atteinte à la santé physique, la causalité adéquate se recoupe largement avec la causalité naturelle, de sorte qu’elle ne joue pratiquement pas de rôle (ATF 138 V 248 cons. 4 et les références citées ; arrêt du TF du 30.08.2024 [8C_71/2024] cons. 3.2 et les références citées). b) En vertu de l'article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 5.1 et les arrêts cités). En principe, on examinera si l'atteinte à la santé est encore imputable à l'accident ou ne l'est plus (statu quo ante ou statu quo sine) selon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 5.1 et les arrêts cités).</w:t>
      </w:r>
    </w:p>
    <w:p>
      <w:r>
        <w:rPr>
          <w:b/>
        </w:rPr>
        <w:t>E. 3</w:t>
      </w:r>
    </w:p>
    <w:p>
      <w:r>
        <w:t>a)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 5.1, 133 V 450 cons. 11.1.3, 125 V 351 cons. 3a ; arrêts du TF du 30.08.2024 [8C_71/2024] cons. 3.3 et du 24.10.2017 [8C_75/2017] cons. 3.4).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l’assureur-accidents,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(ou tout autre assureur-accidents), aussi longtemps qu'aucun indice concret ne permet de douter de son bien-fondé (ATF 125 V 351 cons. 3b/bb et les références citées). Cela étant, le tribunal ne peut pas, lorsqu'il existe des doutes, même faibles,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l'article 44 LPGA (ATF 139 V 225 cons. 5.2, 135 V 465 cons. 4.4 et 4.7, arrêts du TF des 14.04.2021 [8C_671/2020] cons. 3.3 et 03.05.2021 [8C_520/2020] cons. 6.1.4). b) Dans le contexte de la suppression du droit à des prestations, le fardeau de la preuve incombe en principe à l’assureur-accidents (cf. ATF 146 V 51 cons. 5.1 et les références ; arrêt du TF du 05.07.2022 [8C_606/2021] cons. 3.2). A cet égard, est seul décisif le point de savoir si, au degré de la vraisemblance prépondérante (ATF 146 V 271 cons. 4.4), les causes accidentelles d’une atteinte à la santé ne jouent plus aucun rôle, ne serait-ce même que partiel (cf. ATF 142 V 435 cons. 1), et doivent ainsi être considérées comme ayant disparu (arrêts du TF du 25.03.2008 [8C_233/2007] cons. 2 et les arrêts cités et du 11.10.2022 [8C_343/2022] cons. 3.2). 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de fournir, dans la mesure où cela peut être raisonnablement exigé, les preuves commandées par la nature du litige et des faits invoqués, faute de quoi la partie concernée s'expose à devoir supporter les conséquences de l'absence de preuve (ATF 145 V 90 cons. 3.2 et ATF 139 V 176 cons. 5.2).</w:t>
      </w:r>
    </w:p>
    <w:p>
      <w:r>
        <w:rPr>
          <w:b/>
        </w:rPr>
        <w:t>E. 4</w:t>
      </w:r>
    </w:p>
    <w:p>
      <w:r>
        <w:t>Il s’ensuit que la décision sur opposition litigieuse doit être confirmée, ce qui conduit au rejet du recours. Il est statué sans frais, la LAA n’en prévoyant pas (art. 61 let. f bis LPGA) et sans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