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CDP.2025.179 vom 9. Februar 2026</w:t>
      </w:r>
    </w:p>
    <w:p>
      <w:r>
        <w:t>NE Tribunal cantonal, 2026-02-09, FR</w:t>
      </w:r>
    </w:p>
    <w:p>
      <w:r>
        <w:rPr>
          <w:b/>
        </w:rPr>
        <w:t xml:space="preserve">Quelle: </w:t>
      </w:r>
      <w:r>
        <w:t>https://mcp.opencaselaw.ch/entscheid/ne_gerichte_CDP.2025.179</w:t>
      </w:r>
    </w:p>
    <w:p>
      <w:r>
        <w:t>FR: NE_GERICHTE CDP.2025.179 du 9 février 2026</w:t>
      </w:r>
    </w:p>
    <w:p>
      <w:r>
        <w:t>IT: NE_GERICHTE CDP.2025.179 del 9 febbraio 2026</w:t>
      </w:r>
    </w:p>
    <w:p>
      <w:pPr>
        <w:pStyle w:val="Heading2"/>
      </w:pPr>
      <w:r>
        <w:t>Erwägungen</w:t>
      </w:r>
    </w:p>
    <w:p>
      <w:r>
        <w:rPr>
          <w:b/>
        </w:rPr>
        <w:t>E. 40</w:t>
      </w:r>
    </w:p>
    <w:p>
      <w:r>
        <w:t>% et 49 %, à savoir :</w:t>
      </w:r>
    </w:p>
    <w:p>
      <w:r>
        <w:t>Taux dinvaliditéQuotité de la rente49 %47,5 %48 %45 %47 %42,5 %46 %40 %45 %37,5 %44 %35 %43 %32,5 %42 %30 %41 %27,5 %40 %25 %</w:t>
      </w:r>
    </w:p>
    <w:p>
      <w:r>
        <w:t>Taux dinvalidité</w:t>
      </w:r>
    </w:p>
    <w:p>
      <w:r>
        <w:t>Quotité de la rente</w:t>
      </w:r>
    </w:p>
    <w:p>
      <w:r>
        <w:t>49 %</w:t>
      </w:r>
    </w:p>
    <w:p>
      <w:r>
        <w:t>47,5 %</w:t>
      </w:r>
    </w:p>
    <w:p>
      <w:r>
        <w:t>48 %</w:t>
      </w:r>
    </w:p>
    <w:p>
      <w:r>
        <w:rPr>
          <w:b/>
        </w:rPr>
        <w:t>E. 45</w:t>
      </w:r>
    </w:p>
    <w:p>
      <w:r>
        <w:t>%</w:t>
      </w:r>
    </w:p>
    <w:p>
      <w:r>
        <w:rPr>
          <w:b/>
        </w:rPr>
        <w:t>E. 47</w:t>
      </w:r>
    </w:p>
    <w:p>
      <w:r>
        <w:t>%</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t>25 %</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références citées ; arrêt du TF du 04.07.2014 [8C_442/2013] cons. 2).</w:t>
      </w:r>
    </w:p>
    <w:p>
      <w:r>
        <w:t>c)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d)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références citées).</w:t>
      </w:r>
    </w:p>
    <w:p>
      <w:r>
        <w:t>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ss).Lévaluation médicale effectuée par un SMR au sens de larticle 49 al. 1 RAI, qui est établie sans que le médecin nexamine lassuré, ne contient aucune observation clinique. Un tel avis a ainsi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 5.1 ; arrêt du TF du 16.08.2018 [9C_371/2018] cons. 4.3.1 et les références citées).</w:t>
      </w:r>
    </w:p>
    <w:p>
      <w:r>
        <w:t>5.a) En lespèce, il est établi que le recourant présente une lombosciatalgie en lien avec une atteinte dégénérative des disques vertébraux lombaires et un canal lombaire étroit. La décision litigieuse est fondée sur le rapport de synthèse du SMR du 14 novembre 2024, aux termes duquel la Dre H.________ a conclu, à une incapacité de travail totale dans lactivité habituelle dès le 19 août 2022, de 35 % dès le 3 avril 2023 (date de lexpertise retenant une capacité de travail de 60 % à 70 % dans lactivité de technicien de SAV) et une capacité de travail de 100 % dans une activité adaptée aux limitations fonctionnelles. La médecin du SMR a largement repris les conclusions du Dr G.________ du 3 avril 2023. On relèvera que, à teneur du dossier, lassureur perte de gain na notamment pas invité lassuré à poser des questions complémentaires (art. 44 al. 3 LPGA) avant de mettre en uvre la mesure dinstruction médicale auprès du Dr G.________. Ce document na dès lors pas la valeur dune expertise au sens de larticle 44 LPGA. Par ailleurs, ce médecin a certesconclu à une capacité de travail de 60‑70 % dans lactivité habituelle (qui a été jugée pas totalement adaptée) et de 100 % dans une activité adaptée. Il préconisait toutefois dattendre le traitement proposé (infiltration) et les propositions qui seront faites avant «dappliquer» une capacité de travail à 100 % dans une activité adaptée. Or, linfiltration réalisée le 13 juin 2023 (rapport de la Dre D.________ du 15.06.2023) na pas apporté les bénéfices attendus, au point quune stabilisation chirurgicale paraissait indiquée (rapport du 29.08.2023), laquelle navait finalement pas été mise en uvre au moment de la décision litigieuse, un traitement conservateur, avec la prescription de Fentanyl, ayant été privilégié (rapport du Dr  F.________ du 12.05.2025). Les rapports de consultation du Dr E.________ ne font pas état dune amélioration notable de la situation (rapports des 27.11.2023 et 12.02.2024). Sur la base de ces éléments, le Dr F.________ a retenu une incapacité totale de travail (rapport du 12.05.2025). Bien que sa synthèse résume correctement tous ces rapports de consultation, incluant la réserve exprimée par le Dr G.________, la Dre H.________ sest contentée de reprendre les conclusions de ce médecin, sans discuter de limplication de cette réserve sur la capacité de travail de lassuré. Un doute à tout le moins faible subsiste ainsi sur la fiabilité et la pertinence des conclusions du SMR en ce qui concerne la capacité résiduelle de travail. Pour ce motif, la décision litigieuse doit être annulée et la cause renvoyée à lOAI pour instruction complémentaire. Celui-ci devra procéder à une nouvelle évaluation médicale, sous la forme dune expertise au sens de larticle 44 LPGA. Dans la mesure où le recourant présente une nouvelle affection (cardiaque) et que, selon toute vraisemblance, son trouble lombaire sest aggravé (cf. cons. 3b ci-dessus), linstruction devra également porter surl'évolution de létat de santé et ses conséquences sur la capacité résiduelle de travail, étant précisé que la décision qui sera rendue après linstruction constituera la nouvelle limite dans le temps. Finalement, lOAI devra également évaluerl'invalidité du recourant en tenant compte du fait quil se trouve proche de l'âge donnant droit à la rente de vieillesse, en procédant à une analyse globale de la situation et se demander si, de manière réaliste, cet assuré est en mesure de retrouver un emploi sur un marché équilibré du travail. A cet égard,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ce qui nest pas encore le cas en loccurrence (sur la question, cf. ATF 146 V 16 cons. 7.1, 145 V 2 cons. 5.3.1, 138 V 457 cons. 3.1).</w:t>
      </w:r>
    </w:p>
    <w:p>
      <w:r>
        <w:t>b) Les considérations qui précèdent ne remettent pas en cause le droit du recourant à une rente de 30 % dune rente entière dès le1eraoût 2024 en raison dun taux dinvalidité de 42 %, qui est acquise. Il ny a pas lieu non plus de remettre en cause lanalyse de lOAI, selon laquelle le dépôt de la demande date du 6 avril 2023, ouvrant ainsi le droit au versement dune rente au plus tôt six mois après (cf. art. 29 al. 1 LAI), quand bien même lintimé a fait une application généreuse de la règle de larticle 29 al. 3 LPGA.</w:t>
      </w:r>
    </w:p>
    <w:p>
      <w:r>
        <w:t>6.a) Il sensuit que le recours doit être admis, la décision attaquée annulée et la cause renvoyée pour instruction complémentaire et nouvelle décision au sens des considérants.</w:t>
      </w:r>
    </w:p>
    <w:p>
      <w:r>
        <w:t>b) Les frais de procédure doivent être mis à la charge de lOAI (art. 69 al. 1bisLAI).</w:t>
      </w:r>
    </w:p>
    <w:p>
      <w:r>
        <w:t>c) Le recourant qui plaide avec lassistance dun avocat, a droit à des dépens (art. 61 let. g LPGA), dont le montant est défini dans les limites prévues par la loi du 6 novembre 2019 fixant le tarif des frais, des émoluments de chancellerie et des dépens en matière civile, pénale et administrative (LTFrais). A défaut dun état des honoraires et des frais, les dépens seront fixés sur la base du dossier (art. 64 al. 1 et 2 LTFrais par renvoi de lart. 67 LTFrais). Tout bien considéré, l'activité déployée par le mandataire, qui représentait déjà lassuré devant lintimé, peut être évaluée à un total de 8 heures. Eu égard au tarif appliqué par la Cour de céans de l'ordre de 300 francs de l'heure (CHF 2400), des débours à raison de 10 % des honoraires (art. 63 LTFrais par renvoi de lart. 67 LTFrais ; CHF 240) et de la TVA au taux de 8,1 % (CHF 213.85), l'indemnité de dépens sera fixée à 2'853.85 francs.</w:t>
      </w:r>
    </w:p>
    <w:p>
      <w:r>
        <w:t>Par ces motifs,la Cour de droit public</w:t>
      </w:r>
    </w:p>
    <w:p>
      <w:r>
        <w:t>1.Admet le recours.</w:t>
      </w:r>
    </w:p>
    <w:p>
      <w:r>
        <w:t>2.Annule la décision litigieuse et renvoie la cause à lOAI pour instruction complémentaire au sens des considérants et nouvelle décision.</w:t>
      </w:r>
    </w:p>
    <w:p>
      <w:r>
        <w:t>3.Met à la charge de lOAI un émolument de décision de 600 francs et les débours par 60 francs.</w:t>
      </w:r>
    </w:p>
    <w:p>
      <w:r>
        <w:t>4.Ordonne la restitution au recourant de son avance de frais.</w:t>
      </w:r>
    </w:p>
    <w:p>
      <w:r>
        <w:t>5.Alloue au recourant une indemnité de dépens de 2'853.85 francs à la charge de l'OAI.</w:t>
      </w:r>
    </w:p>
    <w:p>
      <w:r>
        <w:t>Neuchâtel, le 9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