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CDP.2025.15 vom 2. Dezember 2025</w:t>
      </w:r>
    </w:p>
    <w:p>
      <w:r>
        <w:t>NE Tribunal cantonal, 2025-12-02, FR</w:t>
      </w:r>
    </w:p>
    <w:p>
      <w:r>
        <w:rPr>
          <w:b/>
        </w:rPr>
        <w:t xml:space="preserve">Quelle: </w:t>
      </w:r>
      <w:r>
        <w:t>https://mcp.opencaselaw.ch/entscheid/ne_gerichte_CDP.2025.15</w:t>
      </w:r>
    </w:p>
    <w:p>
      <w:r>
        <w:t>FR: NE_GERICHTE CDP.2025.15 du 2 décembre 2025</w:t>
      </w:r>
    </w:p>
    <w:p>
      <w:r>
        <w:t>IT: NE_GERICHTE CDP.2025.15 del 2 dicembre 2025</w:t>
      </w:r>
    </w:p>
    <w:p>
      <w:pPr>
        <w:pStyle w:val="Heading2"/>
      </w:pPr>
      <w:r>
        <w:t>Erwägungen</w:t>
      </w:r>
    </w:p>
    <w:p>
      <w:r>
        <w:rPr>
          <w:b/>
        </w:rPr>
        <w:t>E. 3</w:t>
      </w:r>
    </w:p>
    <w:p>
      <w:r>
        <w:t>let. a OACI, elle est de 1 à 15 jours en cas de faute légère. En tant qu'autorité de surveillance, le Secrétariat dEtat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circonstances̶̶tant objectives que subjectives̶du cas concret, notamment des circonstances personnelles, en particulier celles qui ont trait au comportement de l'intéressé au regard de ses devoirs généraux d'assuré qui fait valoir son droit à des prestations (arrêt du TF du 19.10.2018 [8C_758/2017] cons. 4.1.). En l'occurrence, le barème susmentionné prévoit une suspension de 5 à 8 jours indemnisables en cas d'absence, pour la première fois, à un entretien de conseil ou de contrôle.</w:t>
      </w:r>
    </w:p>
    <w:p>
      <w:r>
        <w:t>La Cour de céans nest pas limitée dans ce contexte à la violation du droit (y compris l'excès ou l'abus du pouvoir d'appréciation), mais s'étend également à l'opportunité de la décision administrative. En ce qui concerne l'opportunité de la décision en cause, son examen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(arrêt du TF du 02.08.2018 [8C_777/2017] cons. 4.3 et la référence citée).</w:t>
      </w:r>
    </w:p>
    <w:p>
      <w:r>
        <w:t>b) En loccurrence, la faute commise par l'assurée est légère, au sens de larticle 45 al. 3 let. a OACI, de sorte quelle encourt une suspension de droit à lindemnité de 1 à 15 jours. Dans le cas présent, lORCT a pris en considération les antécédents de lassurée pour fixer la quotité de la sanction.En fixant à huit jours la suspension du droit à l'indemnité de chômage, il est resté dans les limites du barème établi par le SECO et, à fortiori, dans celles de l'article 45 al. 3 OACI en cas de faute légère. Partant, il na pas abusé de son pouvoir dappréciation. La suspension prononcée paraît proportionnée et ne prête pas flanc à la critique (cf. arrêt du TF du 02.08.2018 [8C_777/2017]).</w:t>
      </w:r>
    </w:p>
    <w:p>
      <w:r>
        <w:t>On précisera que les difficultés financières alléguées par lintéresséene constituent pas une condition pour apprécier la durée de la suspension (arrêt du TF du 18.12.2024 [8C_373/2024] cons. 7.1). À noter que la recourante na invoqué aucune autre circonstance particulière qui ferait apparaître lappréciation de lORCT comme discutable.</w:t>
      </w:r>
    </w:p>
    <w:p>
      <w:r>
        <w:t>6.Il en résulte que, entièrement mal fondé, le recours doit être rejeté.</w:t>
      </w:r>
    </w:p>
    <w:p>
      <w:r>
        <w:t>Il est statué sans frais, la loi spéciale nen prévoyant pas (art. 61 let. fbisLPGA). Vu lissue de la procédure, il ny a en outre pas lieu à allocation de dépens (art.  61 let. g LPGAa contrario).</w:t>
      </w:r>
    </w:p>
    <w:p>
      <w:r>
        <w:t>Par ces motifs,la Cour de droit public</w:t>
      </w:r>
    </w:p>
    <w:p>
      <w:r>
        <w:t>1.Rejette le recours.</w:t>
      </w:r>
    </w:p>
    <w:p>
      <w:r>
        <w:t>2.Statue sans frais.</w:t>
      </w:r>
    </w:p>
    <w:p>
      <w:r>
        <w:t>3.Nalloue pas de dépens.</w:t>
      </w:r>
    </w:p>
    <w:p>
      <w:r>
        <w:t>Neuchâtel, le 2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