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CDP.2024.273 vom 10. Dezember 2024</w:t>
      </w:r>
    </w:p>
    <w:p>
      <w:r>
        <w:t>NE Tribunal cantonal, 2024-12-10, FR</w:t>
      </w:r>
    </w:p>
    <w:p>
      <w:r>
        <w:rPr>
          <w:b/>
        </w:rPr>
        <w:t xml:space="preserve">Quelle: </w:t>
      </w:r>
      <w:r>
        <w:t>https://mcp.opencaselaw.ch/entscheid/ne_gerichte_CDP.2024.273</w:t>
      </w:r>
    </w:p>
    <w:p>
      <w:r>
        <w:t>FR: NE_GERICHTE CDP.2024.273 du 10 décembre 2024</w:t>
      </w:r>
    </w:p>
    <w:p>
      <w:r>
        <w:t>IT: NE_GERICHTE CDP.2024.273 del 10 dicembre 2024</w:t>
      </w:r>
    </w:p>
    <w:p>
      <w:pPr>
        <w:pStyle w:val="Heading2"/>
      </w:pPr>
      <w:r>
        <w:t>Erwägungen</w:t>
      </w:r>
    </w:p>
    <w:p>
      <w:r>
        <w:rPr>
          <w:b/>
        </w:rPr>
        <w:t>E. 1</w:t>
      </w:r>
    </w:p>
    <w:p>
      <w:r>
        <w:t>A la requête du père ou de la mère, de l'enfant ou de l'autorité de protection de l'enfant, l'attribution de l'autorité parentale doit être modifiée lorsque des faits nouveaux importants l'exigent pour le bien de l'enfant.</w:t>
      </w:r>
    </w:p>
    <w:p>
      <w:r>
        <w:rPr>
          <w:b/>
        </w:rPr>
        <w:t>E. 2</w:t>
      </w:r>
    </w:p>
    <w:p>
      <w:r>
        <w:t>Les conditions se rapportant à la modification des autres droits et devoirs des père et mère sont définies par les dispositions relatives aux effets de la filiation. 1</w:t>
      </w:r>
    </w:p>
    <w:p>
      <w:r>
        <w:rPr>
          <w:b/>
        </w:rPr>
        <w:t>E. 3</w:t>
      </w:r>
    </w:p>
    <w:p>
      <w:r>
        <w:t>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2</w:t>
      </w:r>
    </w:p>
    <w:p>
      <w:r>
        <w:rPr>
          <w:b/>
        </w:rPr>
        <w:t>E. 4</w:t>
      </w:r>
    </w:p>
    <w:p>
      <w:r>
        <w:t>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3 1 Nouvelle teneur selon le ch. I de la LF du 21 juin 2013 (Autorité parentale), en vigueur depuis le 1 er juil. 2014 ( RO 2014 357 ; FF 2011 8315 ). 2 Nouvelle teneur selon le ch. I de la LF du 21 juin 2013 (Autorité parentale), en vigueur depuis le 1 er juil. 2014 ( RO 2014 357 ; FF 2011 8315 ). 3 Nouvelle teneur selon le ch. I de la LF du 21 juin 2013 (Autorité parentale), en vigueur depuis le 1 er juil. 2014 ( RO 2014 357 ; FF 2011 8315 ). Art. 286 1 CC Faits nouveaux En général 2 1 Le juge peut ordonner que la contribution d'entretien soit augmentée ou réduite dès que des changements déterminés interviennent dans les besoins de l'enfant, les ressources des père et mère ou le coût de la vie. 2 Si la situation change notablement, le juge modifie ou supprime la contribution d'entretien à la demande du père, de la mère ou de l'enfant. 3 Le juge peut contraindre les parents à verser une contribution spéciale lorsque des besoins extraordinaires imprévus de l'enfant le requièrent. 3 1 Nouvelle teneur selon le ch. I 1 de la LF du 25 juin 1976, en vigueur depuis le 1 er janv. 1978 (RO 1977 237; FF 1974 II 1). 2 Nouvelle teneur selon le ch. I de la LF du 20 mars 2015 (Entretien de l'enfant), en vigueur depuis le 1 er janv. 2017 ( RO 2015 4299 ; FF 2014 511 ). 3 Introduit par le ch. I 4 de la LF du 26 juin 1998, en vigueur depuis le 1 er janv. 2000 ( RO 1999 1118 ; FF 1996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