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CDP.2024.270 vom 18. September 2025</w:t>
      </w:r>
    </w:p>
    <w:p>
      <w:r>
        <w:t>NE Tribunal cantonal, 2025-09-18, FR</w:t>
      </w:r>
    </w:p>
    <w:p>
      <w:r>
        <w:rPr>
          <w:b/>
        </w:rPr>
        <w:t xml:space="preserve">Quelle: </w:t>
      </w:r>
      <w:r>
        <w:t>https://mcp.opencaselaw.ch/entscheid/ne_gerichte_CDP.2024.270</w:t>
      </w:r>
    </w:p>
    <w:p>
      <w:r>
        <w:t>FR: NE_GERICHTE CDP.2024.270 du 18 septembre 2025</w:t>
      </w:r>
    </w:p>
    <w:p>
      <w:r>
        <w:t>IT: NE_GERICHTE CDP.2024.270 del 18 settembre 2025</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et les réf. cit.). b) En l’espèce, les rapports médicaux du Dr G.________ du 7 février 2024 et du Dr H.________ du 14 novembre 2024 produits par le recourant sont postérieurs à la décision entreprise, mais ils ont trait à la situation médicale prévalant lors de son prononcé. Il y a donc lieu d’en tenir compte dans l’appréciation du recours.</w:t>
      </w:r>
    </w:p>
    <w:p>
      <w:r>
        <w:rPr>
          <w:b/>
        </w:rPr>
        <w:t>E. 3</w:t>
      </w:r>
    </w:p>
    <w:p>
      <w:r>
        <w:t>a) Lorsque l'administration entre en matière sur une nouvelle demande après un refus de prestations (art. 87 al. 3 RAI), elle doit examiner la cause au plan matériel – soit en instruire tous les aspects médicaux et juridiques (arrêt du TF du 16.06.2015 [9C_721/2014] cons. 3.1) – et s'assurer que la modification du degré d'invalidité rendue vraisemblable par l'assuré est effectivement survenue. Les dispositions légales et les principes jurisprudentiels en matière de révision de la rente d'invalidité sont applicables par analogie à l'examen matériel d'une nouvelle demande (art. 17 LPGA ; 87 al. 2 et 3 RAI ; ATF 141 V 9 cons. 2.3, 130 V 64 cons. 5.2.3, 117 V 198 cons. 4b). Cela revient à examiner si – par analogie avec l'article 17 LPGA (ATF 133 V 108 cons. 5 et les réf. cit.) – l'état de santé de l'assuré s'est notablement modifié depuis l'entrée en force de la dernière décision qui repose sur un examen matériel du droit, une constatation des faits pertinents, une appréciation des preuves et une comparaison des revenus (ATF 133 V 108 cons. 5). L’existence d’un tel changement se juge seulement à l'aune d'une comparaison de deux états de faits qui se succèdent dans le temps (arrêt du TF du 09.03.2016 [9C_622/2015] cons. 3.1). S’il n’y a pas eu modification notable de l’état de santé, l’administration rejette la nouvelle demande. Dans le cas contraire, elle est tenue d'examiner s'il y a désormais lieu de reconnaître un taux d'invalidité ouvrant le droit à une prestation ou augmentant celle-ci, sans référence à des évaluations d’invalidité antérieures. En cas de recours, le même devoir d'examen matériel incombe au juge (ATF 141 V 9 cons. 2.3, 130 V 64 cons. 2 et les arrêts cités). Un motif de révision au sens de l’article 17 LPGA doit clairement ressortir du dossier. La réglementation sur la révision ne saurait constituer un fondement juridique à un réexamen sans condition du droit à la rente. b)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c)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rPr>
          <w:b/>
        </w:rPr>
        <w:t>E. 4</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cette comparaison,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 ESS ; arrêt du TF du 26.04.2022 [8C_608/2021] cons. 3.2 et les références). Lorsque les tables ESS sont appliquées, il convient de se fonder, en règle générale, sur les salaires mensuels indiqués dans la table TA1_tirage_skill_level (secteur privé), à la ligne « total » ; on se réfère alors à la statistique des salaires bruts standardisés, en se fondant toujours sur la valeur médiane ou centrale ( ATF 148 V 174 cons. 6.2 et les arrêts cités). Lorsque cela 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(arrêt du TF du 08.05.2024 [8C_709/2023] cons. 6.2.1). Il convient de se référer à la version de l'ESS publiée au moment déterminant de la décision querellée (ATF 143 V 295 cons 4), étant précisé que les tableaux TA1, T1 et T17 de l’ESS 2022 ont été publiés le 29 mai 2024, l’ESS 2020 le 23 août 2022 ; l’ESS 2018, le 21 avril 2020 ; l’ESS 2016, le 26 octobre 2018 (étant précisé que le tableau T1_tirage_skill_level a été corrigé le 08.11.2018) ; et l’ESS 2014, le 15 avril 2016. c) L'évaluation de l'invalidité s'effectue à l'aune d'un marché du travail équilibré.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du 09.07.2021 [8C_772/2020] cons. 3.3 et les références ; Circulaire sur l’invalidité et les rentes dans l’assurance-invalidité [CIRAI] de l’OFAS [état au 01.01.2022], n. 3406). La jurisprudence a par ailleurs admis que les possibilités de travail sur un marché du travail équilibré sont suffisamment concrétisées dans la mesure où entrent en considération, comme exemples, des travaux simples de surveillance ou de contrôle, l'utilisation et la surveillance de machines (semi-) automatiques ou d'unités de production, ainsi que l'activité de surveillant de musée ou de parking (arrêts du TF des 29.04.2020 [8C_134/2020] cons.</w:t>
      </w:r>
    </w:p>
    <w:p>
      <w:r>
        <w:rPr>
          <w:b/>
        </w:rPr>
        <w:t>E. 4.5</w:t>
      </w:r>
    </w:p>
    <w:p>
      <w:r>
        <w:t>et 09.07.2021 [8C_772/2020] cons. 3.3 et les références). En outre, le Tribunal fédéral a jugé que, pour des personnes considérées comme monomanuelles et limitées à des activités légères, il existait suffisamment de possibilités d’emploi dans un marché équilibré de travail (arrêt précité du TF [8C_772/2020] cons. 5.6 et les réf. cit.).</w:t>
      </w:r>
    </w:p>
    <w:p>
      <w:r>
        <w:rPr>
          <w:b/>
        </w:rPr>
        <w:t>E. 5</w:t>
      </w:r>
    </w:p>
    <w:p>
      <w:r>
        <w:t>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 cons. 11.1.3, 125 V 351 cons. 3a et les réf. cit.). On ne saurait toutefois remettre en cause une expertise indépendante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En ce qui concerne les rapports établis par le médecin traitant de l'assuré, le juge prendra en considération le fait que celui-ci peut être enclin, en cas de doute, à prendre parti pour son patient en raison de la relation de confiance qu'ils ont nouée (arrêt du TF du 20.04.2018 [9C_147/2018] cons. 3.2 et les références). Les rapports réalisés par le SMR en vertu de l’article 49 al. 1 RAI (et 54a al. 2 et 3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(arrêt du TF du 28.07.2021 [9C_670/2020] cons. 3.2 et les réf. cit.). Cela étant, il convient d'ordonner une expertise si des doutes, mêmes faibles, subsistent quant à la fiabilité et à la pertinence des constatations médicales effectuées par le service médical interne de l'assurance (ATF 135 V 465 cons. 4.6).</w:t>
      </w:r>
    </w:p>
    <w:p>
      <w:r>
        <w:rPr>
          <w:b/>
        </w:rPr>
        <w:t>E. 6</w:t>
      </w:r>
    </w:p>
    <w:p>
      <w:r>
        <w:t>En l’espèce, l'objet du litige porte sur le droit éventuel du recourant à une rente AI et/ou à des mesures professionnelles. Il y a ainsi lieu de comparer les faits tels qu’ils se présentaient au moment de la décision du 17 septembre 2021 avec les circonstances régnant à l’époque de la décision litigieuse, afin d’examiner si l’état de santé de l’assuré s’est modifié dans une mesure susceptible de réduire sa capacité de travail. a) Dans sa précédente décision, l’OAI s’était rallié à l’avis du SMR selon lequel les éléments médicaux présentés par le recourant ne démontraient pas une aggravation permanente de son état de santé ayant une incidence déterminante sur sa capacité de travail. Après avoir retenu, à titre d’atteinte principale à la santé, une fracture du poignet gauche et une rupture du ligament scapho-lunaire gauche traitées chirurgicalement le 10 avril 2017, il avait conclu que l’activité habituelle de l’assuré n’était plus exigible mais qu’une capacité de travail totale existait dès le 1 er avril 2019 dans une activité adaptée aux limitations fonctionnelles, à savoir une activité permettant d’éviter les travaux nécessitant de la force du poignet gauche, entraînant des vibrations ou des chocs au niveau du poignet gauche, éviter les sollicitations répétées du poignet gauche et la montée des échelles et échafaudages. b) La décision litigieuse repose sur l’appréciation de l’état de santé de l’assuré telle que retenue par le SMR sur la base des différents rapports médicaux versés au dossier dans le cadre de la nouvelle demande, dont il a opéré la synthèse. Sur le plan orthopédique, le SMR a repris les constats cliniques effectués par le Dr C.________, le Dr D.________ ainsi que ceux de la CRR et a considéré que l’assuré ne pouvait plus exercer son activité habituelle depuis le 13 mai 2022 (date de l’accident). Il a retenu qu’il présentait une capacité de travail à 100 % depuis le 6 février 2023 (date du constat du Dr C.________) dans une activité adaptée à ses limitations fonctionnelles. Il a précisé que le courrier du Dr C.________ du 30 avril 2024 sollicité par l’assuré n’apportait pas de nouvel élément objectif au niveau orthopédique susceptible de modifier ses précédentes conclusions. Dans son rapport du 16 février 2023, on observe que l’orthopédiste traitant retient une incapacité totale de travail dans l’activité habituelle du recourant et atteste une capacité de travail à 100 % dans une activité adaptée à ses limitations sans rapporter par la suite d’éléments médicaux nouveaux faisant état d’une aggravation de l’état de santé susceptible de modifier sa précédente appréciation s’agissant de sa capacité de travail dans une activité adaptée. Lorsque son médecin traitant retient qu’il est en mesure de travailler dans une activité adaptée, et quoi qu’en dise le recourant, il peut être compris que le médecin se réfère à une activité à plein temps et sans diminution de rendement. On ne saurait dès lors soutenir qu’aucun médecin ne s’est prononcé sur le rendement exigible. Aussi, dans son courrier du 30 avril 2024, le Dr C.________ ne revient pas sur sa précédente appréciation, soit sur la capacité de travail à 100 % dans une activité adaptée ressortant de son précédent rapport du 16 février 2023. En particulier, il ne vient pas soutenir qu’il aurait commis une erreur. Par ailleurs, le diagnostic de syndrome douloureux régional complexe de type I (CRPS I) ou maladie de Sudeck évoqué par le Dr G.________ a été écarté par la scintigraphie osseuse réalisée le 22 février 2024 tel que cela ressort du rapport du Dr H.________ du 14 novembre 2024. Ce dernier médecin ne pose pas de nouveau diagnostic et évoque l’éventualité d’une reprise chirurgicale, sans mentionner de nouvelles limitations fonctionnelles ni indiquer en quoi les symptômes de l’assuré (statut douloureux avec limitations des amplitudes articulaires) auraient évolué d’une manière telle qu’ils déploieraient une incidence négative sur sa capacité de travail. Le recourant n’a pas produit de nouveau rapport médical récent faisant état d’une intervention chirurgicale ou d’une aggravation de son état de santé au niveau orthopédique. En conséquence, si le recourant présentait plusieurs atteintes à la santé (poignet gauche et genou droit) qui rendaient cohérente l’impossibilité de continuer à travailler dans son activité habituelle, avec une incapacité complète de travail dès le 13 mai 2022, il possédait une capacité de travail entière depuis le 6 février 2023, dans une activité adaptée. c) Il convient néanmoins d’examiner si les limitations fonctionnelles supplémentaires en lien avec sa nouvelle atteinte au genou droit lui permettent réellement d’exercer une activité lucrative adaptée. Depuis le 1 er juillet 2019, le recourant pouvait exercer une activité adaptée à 100 %, sans diminution de rendement, évitant les travaux nécessitant de la force du poignet gauche, les activités entraînant des vibrations ou des chocs au niveau du poignet gauche, les sollicitations répétées du poignet gauche, la montée des échelles et échafaudages. Suite à l’atteinte du genou droit en mai 2022, sont dorénavant contre-indiqués le port de charges au-delà de 5 kg, la marche sans moyen auxiliaire, la marche prolongée en terrain irrégulier, les positions accroupies/à genoux, les répétitions d’escalier, l’utilisation d’échelles et le travail sur les toits. Sur ce point, le recourant reproche à l’OAI une instruction lacunaire, alléguant notamment que l’appréciation médicale de la CRR – sur laquelle s’est fondée le SMR – fait uniquement état de limitations fonctionnelles en lien avec son genou droit, sans tenir compte de celles s’agissant de son poignet. Par ailleurs, la nécessité d’une alternance des positions assis-debout ainsi que l’impossibilité de rester assis sur une période prolongée décrite par le Dr C.________ n’auraient pas fait l’objet d’une instruction suffisante par l’intimé. Le grief de l’intéressé à l’endroit de la CRR est singulier à mesure qu’il a effectué un séjour dans cette clinique pour une intensification des thérapies suite à la persistance de douleurs au genou droit raison pour laquelle les médecins ont effectué une appréciation des membres inférieurs uniquement. De surcroît, lorsque le Dr C.________ indique dans son courrier du 30 avril 2024 « qu’il se pourrait que le patient puisse reprendre en tous les cas une activité partielle dans une activité adaptée c’est-à-dire un travail où le patient pourrait être assis avec des moments debout en alternance. Bien évidemment, il s’agirait d’une activité plutôt sédentaire à semi-sédentaire tenant compte des limitations fonctionnelles. Il faudrait que le patient puisse être assis et debout en alternance sur de courtes périodes », il ne fait pas mention de nouvelles limitations fonctionnelles et ne se détermine pas sur sa capacité de travail. On observe néanmoins que le rapport du SMR du 13 mai 2024 reprend le contenu du courrier précité du médecin traitant et mentionne ces limitations fonctionnelles. Il a ainsi pris en considération les examens, les diagnostics, les symptômes et les limitations mis en avant par les médecins du recourant ainsi que ceux de la CRR afin d’établir son appréciation et d’évaluer la capacité de travail dans une activité raisonnablement exigible, compte tenu de ses limitations fonctionnelles. C’est le lieu de rappeler que les limitations fonctionnelles en lien avec le poignet gauche de l’assuré ont déjà été fixées dans la décision de l’OAI du 17 septembre 2021, ce qui explique certainement qu’elles n’ont pas été formellement reprises par le SMR dans ses avis, sans que cela n’ait d’influence sur le sort de la cause comme expliqué ci-après. Les troubles du recourant conduisent à des douleurs et à une impotence fonctionnelle au niveau du poignet gauche et du genou droit. Si ses limitations fonctionnelles de l’intéressé sont assez importantes, elles ne l'empêchent pas d’exercer une activité lucrative adaptée. C’est le lieu de rappeler que l’évaluation de l'invalidité doit se faire à l'aune d'un marché du travail équilibré, si bien qu’il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(cf. ci-avant : cons. 4c). Certes, ses limitations fonctionnelles sont susceptibles de lui restreindre l’accès à un certain nombre d’emplois disponibles sur le marché du travail. Toutefois, contrairement à ce qu’il semble faire valoir, il existe des emplois en nombre suffisant compatibles avec les limitations fonctionnelles liées à son état de santé. Notamment, on ne voit pas en quoi un travail simple et répétitif dans le domaine industriel léger – par exemple montage, contrôle ou surveillance d'un processus de production, ouvrier à l'établi dans des activités simples et légères, ouvrier dans le conditionnement – serait incompatible avec ses limitations fonctionnelles (même si une activité sédentaire à semi-sédentaire est recommandée par le médecin traitant orthopédiste). Au surplus, en l’occurrence, on ne se trouve pas dans un cas où il conviendrait de s'écarter de la notion de marché équilibré du travail, dans le cadre duquel, notamment, l'activité exigible au sens de l'article 16 LPGA, ne pourrait être exercée que sous une forme tellement restreinte qu'elle n'existerait quasiment pas sur le marché général du travail ou que son exercice impliquerait d’un employeur des concessions irréalistes et que, de ce fait, il semblerait exclu de trouver un emploi correspondant, le caractère irréaliste des possibilités de travail devant ici découler de l'atteinte à la santé – puisqu'une telle atteinte est indispensable à la reconnaissance d'une invalidité (cf. art. 7 et 8 LPGA) – et non de facteurs psychosociaux ou socioculturels qui sont étrangers à la définition juridique de l’invalidité (arrêt du TF du 30.10.2017 [8C_175/2017] cons. 4.2). Compte tenu des éléments figurant dans les rapports du SMR, qui sont cohérents et ne montrent pas de contradictions, et vu que les appréciations des médecins traitants ne se fondent pas sur des éléments objectivement vérifiables, tels que l’imagerie médicale, mais sur les déclarations subjectives de l’assuré sur ses douleurs, la Cour de céans considère qu’il est établi, au degré de la vraisemblance prépondérante, que le recourant dispose d’une capacité de travail entière dans une activité adaptée à ses limitations fonctionnelles, dès le 6 février 2023. Ces avis démontrent de manière convaincante que malgré les diagnostics supplémentaires, il n’y a pas de péjoration notable et durable de l’état de santé du recourant depuis la dernière décision de 2021. En effet, de manière identique à 2021, l’intéressé dispose d’une capacité de travail à 100 % dans une activité adaptée à l’ensemble de ses limitations fonctionnelles. C’est dès lors à bon droit que l'intimé a considéré que son état de santé ne s’était pas aggravé. Pour le surplus, la comparaison des revenus effectuée par l’OAI pour aboutir à un taux d’invalidité de 11 % n’est, à juste titre, pas critiquée par le recourant. En effet, pour établir le revenu d’invalide, l’OAI s’est fondé sur le tableau TA1_tirage_skill_level de l’ESS 2022 (ligne Total, Homme, niveau de compétence 1). Cette valeur statistique s'applique à tous les assurés qui ne peuvent plus accomplir leur ancienne activité parce qu'elle est trop astreignante pour leur état de santé, mais qui conservent néanmoins une capacité de travail importante dans des activités simples et répétitives et des travaux légers (arrêt du TF du 25.05.2023 [9C_325/2022] cons. 6.3). Elle recouvre un large éventail d’activités variées et non qualifiées, ne requérant pas d’expérience professionnelle spécifique ni de formation particulière, si ce n’est une phase initiale d’adaptation et d’apprentissage (arrêt du TF du 17.10.2018 [9C_458/2018] cons. 4.1). Dans le cas particulier, l’application du tableau TA1_tirage_skill_level de l’ESS 2022 (ligne totale, Homme, niveau de compétence 1) tient adéquatement compte de la situation de l’assuré. En tout état de cause, le fait que le SMR ne mentionne pas expressément les limitations fonctionnelles de l’assuré en lien avec son poignet est sans importance à mesure que l’application de cette valeur statistique permet de tenir compte de ses limitations fonctionnelles aussi bien avec son poignet gauche qu’avec son genou droit. Partant, l’assuré ne peut, au vu des considérations qui précèdent, prétendre à une rente de sorte que c’est à juste titre que l’OAI a rejeté sa demande. d) Finalement, il sied encore d’examiner s’il appartenait à l’OAI d’octroyer des mesures d’ordre professionnel, ce que requiert le recourant. En principe, 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 du TF du 05.01.2021 [9C_244/2020] cons. 4.3.2 et les références). Selon la jurisprudence, il existe toutefois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(arrêts du TF des 30.01.2024 [9C_291/2023] cons. 7.2 ; 08.04.2025 [8C_497/2024] cons. 6.3). En l'occurrence, le recourant ayant uniquement perçu de manière temporaire une rente entière d’invalidité du 1 er mai 2018 au 30 juin 2019, aucune des situations visées par la jurisprudence susmentionnée ne sont données, de sorte que l'intimé n'avait pas à en faire application. La jurisprudence dont le recourant se prévaut ne lui est d'aucun secours. Contrairement à ce qu’il semble penser, la jurisprudence précitée ne s’applique pas à tout assuré âgé de 55 ans et plus lorsqu'il est statué sur son droit à une rente, mais uniquement en cas de réduction ou de suppression de la rente d'un assuré âgé de plus de 55 ans. Il y a également lieu, en principe, de mettre en œuvre des mesures de réadaptation lorsque l'on statue sur la limitation et/ou l'échelonnement en même temps que sur l'octroi de la rente ce qui n’est aucunement le cas en l’espèce. La critique du recourant est donc dénuée de pertinence.</w:t>
      </w:r>
    </w:p>
    <w:p>
      <w:r>
        <w:rPr>
          <w:b/>
        </w:rPr>
        <w:t>E. 7</w:t>
      </w:r>
    </w:p>
    <w:p>
      <w:r>
        <w:t>Les considérants qui précèdent conduisent au rejet du recours. La Cour de céans ayant pu statuer en l’état du dossier, il n’est pas utile de procéder à d’autres mesures d’instruction. Vu l’issue du litige, les frais de procédure doivent être mis à la charge du recourant (art. 61 let. f bis LPGA en relation avec l’art. 69 al. 1 bis LAI), qui n’a pas droit à des dépens (art. 61 let. g LPGA, a contrario ).</w:t>
      </w:r>
    </w:p>
    <w:p>
      <w:r>
        <w:rPr>
          <w:b/>
        </w:rPr>
        <w:t>E. 29</w:t>
      </w:r>
    </w:p>
    <w:p>
      <w:r>
        <w:t>mai 2024, lESS 2020 le 23 août 2022 ; lESS 2018, le 21 avril 2020 ; lESS 2016, le 26 octobre 2018 (étant précisé que le tableau T1_tirage_skill_level a été corrigé le 08.11.2018) ; et lESS 2014, le 15 avril 2016.</w:t>
      </w:r>
    </w:p>
    <w:p>
      <w:r>
        <w:t>c) L'évaluation de l'invalidité s'effectue à l'aune d'un marché du travail équilibré. Elle présuppose un équilibre entre l'offre et la demande de main-duvre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TF du 09.07.2021 [8C_772/2020] cons. 3.3 et les références ; Circulaire sur linvalidité et les rentes dans lassurance-invalidité [CIRAI] de lOFAS [état au 01.01.2022], n. 3406). La jurisprudence a par ailleurs admis que les possibilités de travail sur un marché du travail équilibré sont suffisamment concrétisées dans la mesure où entrent en considération, comme exemples, des travaux simples de surveillance ou de contrôle, l'utilisation et la surveillance de machines (semi-) automatiques ou d'unités de production, ainsi que l'activité de surveillant de musée ou de parking (arrêts du TF des 29.04.2020 [8C_134/2020] cons. 4.5 et 09.07.2021 [8C_772/2020] cons. 3.3 et les références). En outre, le Tribunal fédéral a jugé que, pour des personnes considérées comme monomanuelles et limitées à des activités légères, il existait suffisamment de possibilités demploi dans un marché équilibré de travail (arrêt précité du TF [8C_772/2020] cons. 5.6 et les réf. cit.).</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 3.2 et les réf. cit.).</w:t>
      </w:r>
    </w:p>
    <w:p>
      <w:r>
        <w:t>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 133 V 450 cons. 11.1.3, 125 V 351 cons. 3a et les réf. cit.). On ne saurait toutefois remettre en cause une expertise indépendante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En ce qui concerne les rapports établis par le médecin traitant de l'assuré, le juge prendra en considération le fait que celui-ci peut être enclin, en cas de doute, à prendre parti pour son patient en raison de la relation de confiance qu'ils ont nouée (arrêt du TF du 20.04.2018 [9C_147/2018] cons. 3.2 et les références).</w:t>
      </w:r>
    </w:p>
    <w:p>
      <w:r>
        <w:t>Les rapports réalisés par le SMR en vertu de larticle 49 al. 1 RAI (et 54a al. 2 et 3 LAI) ne constituent pas des expertises au sens de l'article 44 LPGA. Ces rapports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 en raison de leurs fonctionnalités différentes, ces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(arrêt du TF du 28.07.2021 [9C_670/2020] cons. 3.2 et les réf. cit.). Cela étant, il convient d'ordonner une expertise si des doutes, mêmes faibles, subsistent quant à la fiabilité et à la pertinence des constatations médicales effectuées par le service médical interne de l'assurance (ATF 135 V 465 cons. 4.6).</w:t>
      </w:r>
    </w:p>
    <w:p>
      <w:r>
        <w:t>6.En lespèce, l'objet du litige porte sur le droit éventuel du recourant à une rente AI et/ou à des mesures professionnelles. Il y a ainsi lieu de comparer les faits tels quils se présentaient au moment de la décision du 17 septembre 2021 avec les circonstances régnant à lépoque de la décision litigieuse, afin dexaminer si létat de santé de lassuré sest modifiédans une mesure susceptible de réduire sa capacité de travail.</w:t>
      </w:r>
    </w:p>
    <w:p>
      <w:r>
        <w:t>a) Dans sa précédente décision, lOAI sétait rallié à lavis du SMR selon lequel les éléments médicaux présentés par le recourant ne démontraient pas une aggravation permanente de son état de santé ayant une incidence déterminante sur sa capacité de travail. Après avoir retenu, à titre datteinte principale à la santé, une fracture du poignet gauche et une rupture du ligament scapho-lunaire gauche traitées chirurgicalement le 10 avril 2017, il avait conclu que lactivité habituelle de lassuré nétait plus exigible mais quune capacité de travail totale existait dès le 1eravril 2019 dans une activité adaptée aux limitations fonctionnelles, à savoir une activité permettant déviter les travaux nécessitant de la force du poignet gauche, entraînant des vibrations ou des chocs au niveau du poignet gauche, éviter les sollicitations répétées du poignet gauche et la montée des échelles et échafaudages.</w:t>
      </w:r>
    </w:p>
    <w:p>
      <w:r>
        <w:t>b) La décision litigieuse repose sur lappréciation de létat de santé de lassuré telle que retenue par le SMR sur la base des différents rapports médicaux versés au dossier dans le cadre de la nouvelle demande, dont il a opéré la synthèse.</w:t>
      </w:r>
    </w:p>
    <w:p>
      <w:r>
        <w:t>Sur le plan orthopédique, le SMR a repris les constats cliniques effectués par le Dr C.________, le Dr D.________ ainsi que ceux de la CRR et a considéré que lassuré ne pouvait plus exercer son activité habituelle depuis le 13 mai 2022 (date de laccident). Il a retenu quil présentait une capacité de travail à 100 % depuis le 6 février 2023 (date du constat du Dr C.________) dans une activité adaptée à ses limitations fonctionnelles. Il a précisé que le courrier du Dr C.________ du 30 avril 2024 sollicité par lassuré napportait pas de nouvel élément objectif au niveau orthopédique susceptible de modifier ses précédentes conclusions. Dans son rapport du 16 février 2023, on observe que lorthopédiste traitant retient une incapacité totale de travail dans lactivité habituelle du recourant et atteste une capacité de travail à 100 % dans une activité adaptée à ses limitations sans rapporter par la suite déléments médicaux nouveaux faisant état dune aggravation de létat de santé susceptible de modifier sa précédente appréciation sagissant de sa capacité de travail dans une activité adaptée. Lorsque son médecin traitant retient quil est en mesure de travailler dans une activité adaptée, et quoi quen dise le recourant, il peut être compris que le médecin se réfère à une activité à plein temps et sans diminution de rendement. On ne saurait dès lors soutenir quaucun médecin ne sest prononcé sur le rendement exigible. Aussi, dans son courrier du 30 avril 2024, le Dr C.________ ne revient pas sur sa précédente appréciation, soit sur la capacité de travail à 100 % dans une activité adaptée ressortant de son précédent rapport du 16 février 2023. En particulier, il ne vient pas soutenir quil aurait commis une erreur. Par ailleurs, le diagnostic de syndrome douloureux régional complexe de type I (CRPS I) ou maladie de Sudeck évoqué par le Dr G.________ a été écarté par la scintigraphie osseuse réalisée le 22 février 2024 tel que cela ressort du rapport du Dr H.________ du 14 novembre 2024. Ce dernier médecin ne pose pas de nouveau diagnostic et évoque léventualité dune reprise chirurgicale, sans mentionner de nouvelles limitations fonctionnelles ni indiquer en quoi les symptômes de lassuré (statut douloureux avec limitations des amplitudes articulaires) auraient évolué dune manière telle quils déploieraient une incidence négative sur sa capacité de travail. Le recourant na pas produit de nouveau rapport médical récent faisant état dune intervention chirurgicale ou dune aggravation de son état de santé au niveau orthopédique. En conséquence, si le recourant présentait plusieurs atteintes à la santé (poignet gauche et genou droit) qui rendaient cohérente limpossibilité de continuer à travailler dans son activité habituelle, avec une incapacité complète de travail dès le 13 mai 2022, il possédait une capacité de travail entière depuis le 6 février 2023, dans une activité adaptée.</w:t>
      </w:r>
    </w:p>
    <w:p>
      <w:r>
        <w:t>c) Il convient néanmoins dexaminer si les limitations fonctionnelles supplémentaires en lien avec sa nouvelle atteinte au genou droit lui permettent réellement dexercer une activité lucrative adaptée.</w:t>
      </w:r>
    </w:p>
    <w:p>
      <w:r>
        <w:t>Depuis le 1erjuillet 2019, le recourant pouvait exercer une activité adaptée à 100 %, sans diminution de rendement, évitant les travaux nécessitant de la force du poignet gauche, les activités entraînant des vibrations ou des chocs au niveau du poignet gauche, les sollicitations répétées du poignet gauche, la montée des échelles et échafaudages. Suite à latteinte du genou droit en mai 2022, sont dorénavant contre-indiqués le port de charges au-delà de 5 kg, la marche sans moyen auxiliaire, la marche prolongée en terrain irrégulier, les positions accroupies/à genoux, les répétitions descalier, lutilisation déchelles et le travail sur les toits. Sur ce point, le recourant reproche à lOAI une instruction lacunaire, alléguant notamment que lappréciation médicale de la CRR  sur laquelle sest fondée le SMR  fait uniquement état de limitations fonctionnelles en lien avec son genou droit, sans tenir compte de celles sagissant de son poignet. Par ailleurs, la nécessité dune alternance des positions assis-debout ainsi que limpossibilité de rester assis sur une période prolongée décrite par le Dr C.________ nauraient pas fait lobjet dune instruction suffisante par lintimé. Le grief de lintéressé à lendroit de la CRR est singulier à mesure quil a effectué un séjour dans cette clinique pour une intensification des thérapies suite à la persistance de douleurs au genou droit raison pour laquelle les médecins ont effectué une appréciation des membres inférieurs uniquement. De surcroît, lorsque le Dr C.________ indique dans son courrier du 30 avril 2024 «quil se pourrait que le patient puisse reprendre en tous les cas une activité partielle dans une activité adaptée cest-à-dire un travail où le patient pourrait être assis avec des moments debout en alternance. Bien évidemment, il sagirait dune activité plutôt sédentaire à semi-sédentaire tenant compte des limitations fonctionnelles. Il faudrait que le patient puisse être assis et debout en alternance sur de courtes périodes», il ne fait pas mention de nouvelles limitations fonctionnelles et ne se détermine pas sur sa capacité de travail. On observe néanmoins que le rapport du SMR du 13 mai 2024 reprend le contenu du courrier précité du médecin traitant et mentionne ces limitations fonctionnelles. Il a ainsi pris en considération les examens, les diagnostics, les symptômes et les limitations mis en avant par les médecins du recourant ainsi que ceux de la CRR afin détablir son appréciation et dévaluer la capacité de travail dans une activité raisonnablement exigible, compte tenu de ses limitations fonctionnelles. Cest le lieu de rappeler que les limitations fonctionnelles en lien avec le poignet gauche de lassuré ont déjà été fixées dans la décision de lOAI du 17 septembre 2021, ce qui explique certainement quelles nont pas été formellement reprises par le SMR dans ses avis, sans que cela nait dinfluence sur le sort de la cause comme expliqué ci-après.</w:t>
      </w:r>
    </w:p>
    <w:p>
      <w:r>
        <w:t>Les troubles du recourant conduisent à des douleurs et à une impotence fonctionnelle au niveau du poignet gauche et du genou droit. Si ses limitations fonctionnelles de lintéressé sont assez importantes, elles ne l'empêchent pas dexercer une activité lucrative adaptée. Cest le lieu de rappeler que lévaluation de l'invalidité doit se faire à l'aune d'un marché du travail équilibré, si bien quil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(cf. ci-avant : cons. 4c). Certes, ses limitations fonctionnelles sont susceptibles de lui restreindre laccès à un certain nombre demplois disponibles sur le marché du travail. Toutefois, contrairement à ce quil semble faire valoir, il existe des emplois en nombre suffisant compatibles avec les limitations fonctionnelles liées à son état de santé. Notamment, on ne voit pas en quoi un travail simple et répétitif dans le domaine industriel léger  par exemple montage, contrôle ou surveillance d'un processus de production, ouvrier à l'établi dans des activités simples et légères, ouvrier dans le conditionnement  serait incompatible avec ses limitations fonctionnelles (même si une activité sédentaire à semi-sédentaire est recommandée par le médecin traitant orthopédiste). Au surplus, en loccurrence, on ne se trouve pas dans un cas où il conviendrait de s'écarter de la notion de marché équilibré du travail, dans le cadre duquel, notamment, l'activité exigible au sens de l'article 16 LPGA, ne pourrait être exercée que sous une forme tellement restreinte qu'elle n'existerait quasiment pas sur le marché général du travail ou que son exercice impliquerait dun employeur des concessions irréalistes et que, de ce fait, il semblerait exclu de trouver un emploi correspondant, le caractère irréaliste des possibilités de travail devant ici découler de l'atteinte à la santé  puisqu'une telle atteinte est indispensable à la reconnaissance d'une invalidité (cf. art. 7 et 8 LPGA)  et non de facteurs psychosociaux ou socioculturels qui sont étrangers à la définition juridique de linvalidité (arrêt du TF du 30.10.2017 [8C_175/2017] cons. 4.2).</w:t>
      </w:r>
    </w:p>
    <w:p>
      <w:r>
        <w:t>Compte tenu des éléments figurant dans les rapports du SMR, qui sont cohérents et ne montrent pas de contradictions, et vu que les appréciations des médecins traitants ne se fondent pas sur des éléments objectivement vérifiables, tels que limagerie médicale, mais sur les déclarations subjectives de lassuré sur ses douleurs, la Cour de céans considère quil est établi, au degré de la vraisemblance prépondérante, que le recourant dispose dune capacité de travail entière dans une activité adaptée à ses limitations fonctionnelles, dès le 6 février 2023. Ces avis démontrent de manière convaincante que malgré les diagnostics supplémentaires, il ny a pas de péjoration notable et durable de létat de santé du recourant depuis la dernière décision de 2021. En effet, de manière identique à 2021, lintéressé dispose dune capacité de travail à 100 % dans une activité adaptée à lensemble de ses limitations fonctionnelles. Cest dès lors à bon droit que l'intimé a considéré que son état de santé ne sétait pas aggravé.</w:t>
      </w:r>
    </w:p>
    <w:p>
      <w:r>
        <w:t>Pour le surplus, la comparaison des revenus effectuée par lOAI pour aboutir à un taux dinvalidité de 11 % nest, à juste titre, pas critiquée par le recourant.En effet, pour établir le revenu dinvalide, lOAI sest fondé sur le tableau TA1_tirage_skill_level de lESS 2022 (ligne Total, Homme, niveau de compétence 1). Cette valeur statistique s'applique à tous les assurés qui ne peuvent plus accomplir leur ancienne activité parce qu'elle est trop astreignante pour leur état de santé, mais qui conservent néanmoins une capacité de travail importante dans des activités simples et répétitives et des travaux légers (arrêt du TF du 25.05.2023 [9C_325/2022] cons. 6.3). Elle recouvre un large éventail dactivités variées et non qualifiées, ne requérant pas dexpérience professionnelle spécifique ni de formation particulière, si ce nest une phase initiale dadaptation et dapprentissage (arrêt du TF du 17.10.2018 [9C_458/2018] cons. 4.1). Dans le cas particulier, lapplication du tableau TA1_tirage_skill_level de lESS 2022 (ligne totale, Homme, niveau de compétence 1) tient adéquatementcompte de la situation de lassuré. En tout état de cause, le fait que le SMR ne mentionne pas expressément les limitations fonctionnelles de lassuré en lien avec son poignet est sans importance à mesure que lapplication de cettevaleur statistique permet de tenir compte de seslimitations fonctionnelles aussi bien avec son poignet gauche quavec son genou droit.</w:t>
      </w:r>
    </w:p>
    <w:p>
      <w:r>
        <w:t>Partant, lassuré ne peut, au vu des considérations qui précèdent, prétendre à une rente de sorte que cest à juste titre que lOAI a rejeté sa demande.</w:t>
      </w:r>
    </w:p>
    <w:p>
      <w:r>
        <w:t>d) Finalement, il sied encore dexaminer sil appartenait à lOAI doctroyer des mesures dordre professionnel, ce que requiert le recourant.</w:t>
      </w:r>
    </w:p>
    <w:p>
      <w:r>
        <w:t>En principe, le seul fait qu'un assuré soit empêché de trouver un emploi adapté à son handicap ou ses limitations fonctionnelles ne suffit pas pour reconnaître le droit à des mesures de réadaptation. La réadaptation par soi-même est en effet un aspect de l'obligation de diminuer le dommage et prime aussi bien le droit à une rente que celui à des mesures de réadaptation (arrêt du TF du 05.01.2021 [9C_244/2020] cons. 4.3.2 et les références). Selon la jurisprudence, il existe toutefois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(arrêts du TF des 30.01.2024 [9C_291/2023] cons. 7.2 ; 08.04.2025 [8C_497/2024] cons. 6.3).</w:t>
      </w:r>
    </w:p>
    <w:p>
      <w:r>
        <w:t>En l'occurrence, le recourant ayant uniquement perçu de manière temporaire une rente entière dinvalidité du 1ermai 2018 au 30 juin 2019, aucune des situations visées par la jurisprudence susmentionnée ne sont données, de sorte que l'intimé n'avait pas à en faire application. La jurisprudence dont le recourant se prévaut ne lui est d'aucun secours. Contrairement à ce quil semble penser, la jurisprudence précitée ne sapplique pas à tout assuré âgé de 55 ans et plus lorsqu'il est statué sur son droit à une rente, mais uniquement en cas de réduction ou de suppression de la rente d'un assuré âgé de plus de 55 ans. Il y a également lieu, en principe, de mettre en uvre des mesures de réadaptation lorsque l'on statue sur la limitation et/ou l'échelonnement en même temps que sur l'octroi de la rente ce qui nest aucunement le cas en lespèce. La critique du recourant est donc dénuée de pertinence.</w:t>
      </w:r>
    </w:p>
    <w:p>
      <w:r>
        <w:t>7.Les considérants qui précèdent conduisent au rejet du recours. La Cour de céans ayant pu statuer en létat du dossier, il nest pas utile de procéder à dautres mesures dinstruction. Vu lissue du litige, les frais de procédure doivent être mis à la charge du recourant (art. 61 let. fbisLPGA en relation avec lart. 69 al. 1bisLAI), qui na pas droit à des dépens (art. 61 let. g LPGA,a contrario).</w:t>
      </w:r>
    </w:p>
    <w:p>
      <w:r>
        <w:t>Par ces motifs,la Cour de droit public</w:t>
      </w:r>
    </w:p>
    <w:p>
      <w:r>
        <w:t>1.Rejette le recours.</w:t>
      </w:r>
    </w:p>
    <w:p>
      <w:r>
        <w:t>2.Met les frais de la procédure par 660 francs à charge du recourant, montant compensé par son avance.</w:t>
      </w:r>
    </w:p>
    <w:p>
      <w:r>
        <w:t>Neuchâtel, le 18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