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CDP.2024.265 vom 29. Oktober 2025</w:t>
      </w:r>
    </w:p>
    <w:p>
      <w:r>
        <w:t>NE Tribunal cantonal, 2025-10-29, FR</w:t>
      </w:r>
    </w:p>
    <w:p>
      <w:r>
        <w:rPr>
          <w:b/>
        </w:rPr>
        <w:t xml:space="preserve">Quelle: </w:t>
      </w:r>
      <w:r>
        <w:t>https://mcp.opencaselaw.ch/entscheid/ne_gerichte_CDP.2024.265</w:t>
      </w:r>
    </w:p>
    <w:p>
      <w:r>
        <w:t>FR: NE_GERICHTE CDP.2024.265 du 29 octobre 2025</w:t>
      </w:r>
    </w:p>
    <w:p>
      <w:r>
        <w:t>IT: NE_GERICHTE CDP.2024.265 del 29 ottobre 2025</w:t>
      </w:r>
    </w:p>
    <w:p>
      <w:pPr>
        <w:pStyle w:val="Heading2"/>
      </w:pPr>
      <w:r>
        <w:t>Erwägungen</w:t>
      </w:r>
    </w:p>
    <w:p>
      <w:r>
        <w:rPr>
          <w:b/>
        </w:rPr>
        <w:t>E. 1</w:t>
      </w:r>
    </w:p>
    <w:p>
      <w:r>
        <w:t>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w:t>
      </w:r>
    </w:p>
    <w:p>
      <w:r>
        <w:t>Taux dinvalidité</w:t>
      </w:r>
    </w:p>
    <w:p>
      <w:r>
        <w:t>Quotité de la rente</w:t>
      </w:r>
    </w:p>
    <w:p>
      <w:r>
        <w:t>49 %</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Selon l'article 8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 3.2 et les références). L'article 17 al. 1 LAI prévoit que l'assuré a droit au reclassement dans une nouvelle profession si son invalidité rend cette mesure nécessaire et que sa capacité de gain peut ainsi, selon toute vraisemblance, être maintenue ou améliorée. Est réputé invalide au sens de cet article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 5.3, 130 V 488 cons. 4.2).</w:t>
      </w:r>
    </w:p>
    <w:p>
      <w:r>
        <w:t>b)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w:t>
      </w:r>
    </w:p>
    <w:p>
      <w:r>
        <w:t>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et les réf. cit.).</w:t>
      </w:r>
    </w:p>
    <w:p>
      <w:r>
        <w:t>d)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main-d'uvre. On ne saurait toutefois se fonder sur des possibilités de travail irréalistes. Il est certes possible de s'écarter de la notion de marché équilibré du travail notamment lorsque l'activité exigible au sens de l'article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(arrêt du TF du 12.01.2016 [9C_286/2015] cons. 4.2).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(arrêt du TF du 30.10.2017 [8C_175/2017] cons. 4.2).</w:t>
      </w:r>
    </w:p>
    <w:p>
      <w:r>
        <w:t>La possibilité pour une personne assurée d'utiliser la capacité restante sur le marché du travail équilibré dépend des circonstances concrètes du cas particulier. Selon la jurisprudence, les éléments déterminants sont le type et la nature de l'atteinte à la santé et ses conséquences, l'effort d'adaptation prévisible et, dans ce contexte, également la structure de la personnalité, les talents et compétences existants, la formation, la carrière professionnelle ou l'applicabilité de l'expérience professionnelle de lactivité habituelle (arrêt du TF du 11.08.2016 [9C_650/2016] cons. 5.3 et les réf. cit.).</w:t>
      </w:r>
    </w:p>
    <w:p>
      <w:r>
        <w:t>3.a) En lespèce, se fondant sur les conclusions du SMR, lOAI a rejeté la demande de rente et de mesures dordre professionnel, au motif que lassurée présente, dès le mois de juillet 2024, une capacité de travail totale dans toute activité correspondant à ses aptitudes et motivations. Étant au bénéfice dun CFC demployée de commerce ainsi que dune maturité professionnelle, lexercice dune activité à domicile ou en télétravail est réalisable à 100 %, de sorte quil nen découle aucun préjudice économique.</w:t>
      </w:r>
    </w:p>
    <w:p>
      <w:r>
        <w:t>b/aa) En premier lieu, il sied dexaminer si lappréciation du SMR est justifiée eu égard aux pièces du dossier.</w:t>
      </w:r>
    </w:p>
    <w:p>
      <w:r>
        <w:t>La Cour de céans constate que, dans son rapport médical du 14 avril 2024, le Dr B.________ relève que sa patiente présente désormais des crises à fréquence hebdomadaire, ce qui constitue une amélioration par rapport à la période antérieure, puisque celles-ci survenaient presque quotidiennement. Sagissant du pronostic sur la capacité de travail de sa patiente, il indique quelle souhaite pouvoir travailler et/ou reprendre une formation. Dun point de vue médico-théorique, il mentionne quun travail est possible à domicile avec peu ou pas de restriction. Dans son rapport médical du 28 juillet 2024, ce psychiatre traitant indique que lassurée est (actuellement) dans lincapacité de pouvoir travailler sans pour autant évoquer une péjoration de la situation. À linstar de lintimé, il y a lieu de relever que la position du Dr B.________, selon laquelle la capacité de travail de lassurée serait nulle dans nimporte quelle activité, entre en contradiction manifeste avec ses propres constatations établies en avril 2024. Le fait que le Dr B.________ ait indiqué que lassurée ne présentait pas de potentiel de réadaptation pour le moment nest, dune part, pas étayé, dès lors quil nexpose aucun motif précis à lappui de cette appréciation, et, dautre part, nest pas incompatible avec le constat que le travail à domicile est possible, selon les réponses quil a apportées aux chiffres 4.1 et 4.2 du même rapport.</w:t>
      </w:r>
    </w:p>
    <w:p>
      <w:r>
        <w:t>Vu ce qui précède, cest à juste titre que le SMR a retenu une capacité de travail de 100 %, sans restriction, dans toute activité correspondant aux aptitudes (activité pouvant être exercée en télétravail ou à domicile), motivations et compétences de lassurée.</w:t>
      </w:r>
    </w:p>
    <w:p>
      <w:r>
        <w:t>b/bb) La recourante se prévaut de larrêt du Tribunal fédéral 9C_426/2020 du 29 avril 2021, considérant quil présente un cas similaire au sien, notamment en raison de ses troubles dagoraphobie accompagnées de conduites dévitement et disolement social. Elle prétend que son état de santé lempêche de quitter son domicile, ce qui rend non seulement difficile, mais pratiquement impossible de se rendre à un entretien dembauche ou même deffectuer des déplacements ponctuels dans les locaux de lentreprise. Elle soutient enfin que les démarches administratives liées à lorganisation de son mariage ne sauraient démontrer sa capacité à assumer des tâches administratives dans un cadre professionnel, dès lors quelles nont pas été accomplies de manière autonome, mais avec laide de son époux. La recourante prétend ainsi implicitement quelle ne serait pas en mesure dexploiter sa capacité de travail sur un marché équilibré et quil nexisterait pas dactivité exigible sur le marché du travail. Elle reproche ainsi à lOAI davoir considéré quelle disposait dune pleine capacité de travail dans lactivité pour laquelle elle a été initialement formée.</w:t>
      </w:r>
    </w:p>
    <w:p>
      <w:r>
        <w:t>Tout dabord, les allégations de la recourante ne sont corroborées par aucun élément médical au dossier. En effet, si le Dr B.________ a indiqué, dans son rapport du 28 juillet 2024, que les conduites dévitement de sa patiente lamèneraient à ne relever son courrier quune fois par mois, ces constatations reposent exclusivement sur les déclarations de lassurée. Cette dernière prétend quil lui est non seulement difficile, mais pratiquement impossible, de se rendre à un entretien dembauche, alors même que le Dr B.________ relève quelle prend la voiture, certes sur de très courts trajets et de manière très occasionnelle. Dans ces circonstances, la recourante ne peut rien tirer de larrêt du Tribunal fédéral quelle cite. En effet, dans cette cause, lassurée était incapable de se rendre dans lentreprise de son employeur, ne serait-ce que de manière sporadique («sporadisch»). De ce fait, il lui était quasiment impossible de se présenter à un entretien dembauche, ce qui compliquait considérablement sa recherche d'un nouvel emploi. De plus, étant donné que des déplacements nétaient pas envisageables, même à proximité immédiate de son domicile, le recours aux services postaux ou autres services de messagerie pour apporter et retirer ses documents de travail ne pouvait être envisagé. Par ailleurs, même si elle travaillait à domicile, elle dépendrait d'un employeur très compréhensif dans le cadre dun travail exempt de pression au rendement. Globalement, les aménagements que son employeur devrait lui fournir semblaient si importants que la recherche d'un poste adapté à ce stade paraissait a priori irréaliste (cf. cons. 5.3). Le Tribunal fédéral a toutefois rappelé que l'équilibre du marché du travail est un paramètre théorique, de sorte que la capacité de travail restante inexploitable ne peut être présumée à la légère (cf. arrêt du TF du 09.12.2021 [9C_500/2021] cons. 6.1). Dans le cas de la recourante, le Dr B.________ a indiqué quelle prenait la voiture, même si cela se produisait de manière très occasionnelle et sur de courts trajets. Tout comme elle semble apte à sortir de chez elle pour les achats, même si elle est accompagnée. Sil y a lieu de suivre la recourante lorsquelle soutient que les démarches administratives liées à lorganisation de son mariage ne sauraient démontrer sa capacité à accomplir des tâches administratives dans un cadre professionnel, dans la mesure où elles ont été réalisées avec laide de son époux et non de manière autonome, on relève toutefois quelle est, malgré le trouble agoraphobique diagnostiqué, capable de sortir de son domicile, comme en témoigne le fait quelle sest mariée le 9 décembre 2022 ou quelle sorte accompagnée pour ses achats. Il y a donc lieu de considérer  contrairement à la situation qui prévalait dans larrêt précité où la personne assurée nosait pas du tout sortir de chez elle  que la mobilité à proximité immédiate du domicile est raisonnable et que le recours aux services postaux ou autres services de messagerie pour la remise et la récupération des documents de travail peut être envisagé, aucune preuve médicale au dossier ne sy opposant. Dans ces circonstances, il convient dadmettre que la recourante peut utiliser sa capacité de travail sur le marché du travail et quil existe suffisamment dopportunités réalistes sur un marché du travail équilibré pour des personnes capables de travailler à 100 %, avec peu ou sans restriction particulière, depuis son domicile, dans un travail de type administratif pour lequel elle détient un CFC demployée de commerce ainsi quune maturité professionnelle. Il napparaît ainsi pas que lexercice dun emploi à 100 % en télétravail ou depuis le domicile exigerait de lemployeur des concessions déraisonnables, de sorte quil ne saurait être retenu quil serait impossible de trouver un emploi correspondant. Un degré d'invalidité minimal de 40 % pour ouvrir le droit à une rente et de 20 % pour ouvrir le droit à des mesures d'ordre professionnel ne saurait en tout état de cause être atteint. La décision de refus de prestations doit par conséquent être confirmée.</w:t>
      </w:r>
    </w:p>
    <w:p>
      <w:r>
        <w:t>c) Il découle des considérations ci-dessus que le recours doit être rejeté.</w:t>
      </w:r>
    </w:p>
    <w:p>
      <w:r>
        <w:t>4.Vu lissue du litige, les frais de procédure doivent être mis à la charge de la recourante (art. 61 let. fbisLPGA en relation avec lart. 69 al. 1bisLAI) qui ne peut par ailleurs pas prétendre à des dépens (art. 61 let. g LPGAa contrario).</w:t>
      </w:r>
    </w:p>
    <w:p>
      <w:r>
        <w:t>Par ces motifs,la Cour de droit public</w:t>
      </w:r>
    </w:p>
    <w:p>
      <w:r>
        <w:t>1.Rejette le recours.</w:t>
      </w:r>
    </w:p>
    <w:p>
      <w:r>
        <w:t>2.Met à la charge de la recourante un émolument de décision par 600 francs et les débours par 60 francs, montants compensés par son avance de frais.</w:t>
      </w:r>
    </w:p>
    <w:p>
      <w:r>
        <w:t>3.Nalloue pas de dépens.</w:t>
      </w:r>
    </w:p>
    <w:p>
      <w:r>
        <w:t>Neuchâtel, le 29 octobre 2025</w:t>
      </w:r>
    </w:p>
    <w:p>
      <w:r>
        <w:rPr>
          <w:b/>
        </w:rPr>
        <w:t>E. 2</w:t>
      </w:r>
    </w:p>
    <w:p>
      <w:r>
        <w:t>Le litige porte sur le bien-fondé de la décision de l’intimé de nier à la recourante le droit aux prestations de l’assurance-invalidité, au motif qu’elle présente une capacité de travail totale dans toute activité correspondant à ses aptitudes et motivations. 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d’invalidité aux conditions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 quotité de la rente est fixée en pourcentage d’une rente entière (art. 28b al. 1 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 Taux d’invalidité Quotité de la rente 49 % 47,5 % 48 % 45 % 47 % 42,5 % 46 % 40 % 45 % 37,5 % 44 % 35 % 43 % 32,5 % 42 % 30 % 41 % 27,5 % 40 % 25 % Selon l'article 8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 3.2 et les références). L'article 17 al. 1 LAI prévoit que l'assuré a droit au reclassement dans une nouvelle profession si son invalidité rend cette mesure nécessaire et que sa capacité de gain peut ainsi, selon toute vraisemblance, être maintenue ou améliorée. Est réputé invalide au sens de cet article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 5.3, 130 V 488 cons. 4.2). b) L'assurance-invalidité, comme toute autre assurance, repose sur l'hypothèse que le risque assuré ne se réalise qu’exceptionnellement. Il en découle que l’assuré doit en principe être considéré comme étant en bonne santé et pouvant exercer une activité professionnelle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(ATF 142 V 106 cons. 4.3 et 4.4).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et les réf. cit.). d)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On ne saurait toutefois se fonder sur des possibilités de travail irréalistes. Il est certes possible de s'écarter de la notion de marché équilibré du travail notamment lorsque l'activité exigible au sens de l'article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(arrêt du TF du 12.01.2016 [9C_286/2015] cons. 4.2).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(arrêt du TF du 30.10.2017 [8C_175/2017] cons. 4.2). La possibilité pour une personne assurée d'utiliser la capacité restante sur le marché du travail équilibré dépend des circonstances concrètes du cas particulier. Selon la jurisprudence, les éléments déterminants sont le type et la nature de l'atteinte à la santé et ses conséquences, l'effort d'adaptation prévisible et, dans ce contexte, également la structure de la personnalité, les talents et compétences existants, la formation, la carrière professionnelle ou l'applicabilité de l'expérience professionnelle de l’activité habituelle (arrêt du TF du 11.08.2016 [9C_650/2016] cons. 5.3 et les réf. cit.).</w:t>
      </w:r>
    </w:p>
    <w:p>
      <w:r>
        <w:rPr>
          <w:b/>
        </w:rPr>
        <w:t>E. 3</w:t>
      </w:r>
    </w:p>
    <w:p>
      <w:r>
        <w:t>a) En l’espèce, se fondant sur les conclusions du SMR, l’OAI a rejeté la demande de rente et de mesures d’ordre professionnel, au motif que l’assurée présente, dès le mois de juillet 2024, une capacité de travail totale dans toute activité correspondant à ses aptitudes et motivations. Étant au bénéfice d’un CFC d’employée de commerce ainsi que d’une maturité professionnelle, l’exercice d’une activité à domicile ou en télétravail est réalisable à 100 %, de sorte qu’il n’en découle aucun préjudice économique. b/aa) En premier lieu, il sied d’examiner si l’appréciation du SMR est justifiée eu égard aux pièces du dossier. La Cour de céans constate que, dans son rapport médical du 14 avril 2024, le Dr B.________ relève que sa patiente présente désormais des crises à fréquence hebdomadaire, ce qui constitue une amélioration par rapport à la période antérieure, puisque celles-ci survenaient presque quotidiennement. S’agissant du pronostic sur la capacité de travail de sa patiente, il indique qu’elle souhaite pouvoir travailler et/ou reprendre une formation. D’un point de vue médico-théorique, il mentionne qu’un travail est possible à domicile avec peu ou pas de restriction. Dans son rapport médical du 28 juillet 2024, ce psychiatre traitant indique que l’assurée est (actuellement) dans l’incapacité de pouvoir travailler sans pour autant évoquer une péjoration de la situation. À l’instar de l’intimé, il y a lieu de relever que la position du Dr B.________, selon laquelle la capacité de travail de l’assurée serait nulle dans n’importe quelle activité, entre en contradiction manifeste avec ses propres constatations établies en avril 2024. Le fait que le Dr B.________ ait indiqué que l’assurée ne présentait pas de potentiel de réadaptation pour le moment n’est, d’une part, pas étayé, dès lors qu’il n’expose aucun motif précis à l’appui de cette appréciation, et, d’autre part, n’est pas incompatible avec le constat que le travail à domicile est possible, selon les réponses qu’il a apportées aux chiffres 4.1 et 4.2 du même rapport. Vu ce qui précède, c’est à juste titre que le SMR a retenu une capacité de travail de 100 %, sans restriction, dans toute activité correspondant aux aptitudes (activité pouvant être exercée en télétravail ou à domicile), motivations et compétences de l’assurée. b/bb) La recourante se prévaut de l’arrêt du Tribunal fédéral 9C_426/2020 du 29 avril 2021, considérant qu’il présente un cas similaire au sien, notamment en raison de ses troubles d’agoraphobie accompagnées de conduites d’évitement et d’isolement social. Elle prétend que son état de santé l’empêche de quitter son domicile, ce qui rend non seulement difficile, mais pratiquement impossible de se rendre à un entretien d’embauche ou même d’effectuer des déplacements ponctuels dans les locaux de l’entreprise. Elle soutient enfin que les démarches administratives liées à l’organisation de son mariage ne sauraient démontrer sa capacité à assumer des tâches administratives dans un cadre professionnel, dès lors qu’elles n’ont pas été accomplies de manière autonome, mais avec l’aide de son époux. La recourante prétend ainsi implicitement qu’elle ne serait pas en mesure d’exploiter sa capacité de travail sur un marché équilibré et qu’il n’existerait pas d’activité exigible sur le marché du travail. Elle reproche ainsi à l’OAI d’avoir considéré qu’elle disposait d’une pleine capacité de travail dans l’activité pour laquelle elle a été initialement formée. Tout d’abord, les allégations de la recourante ne sont corroborées par aucun élément médical au dossier. En effet, si le Dr B.________ a indiqué, dans son rapport du 28 juillet 2024, que les conduites d’évitement de sa patiente l’amèneraient à ne relever son courrier qu’une fois par mois, ces constatations reposent exclusivement sur les déclarations de l’assurée. Cette dernière prétend qu’il lui est non seulement difficile, mais pratiquement impossible, de se rendre à un entretien d’embauche, alors même que le Dr B.________ relève qu’elle prend la voiture, certes sur de très courts trajets et de manière très occasionnelle. Dans ces circonstances, la recourante ne peut rien tirer de l’arrêt du Tribunal fédéral qu’elle cite. En effet, dans cette cause, l’assurée était incapable de se rendre dans l’entreprise de son employeur, ne serait-ce que de manière sporadique (« sporadisch »). De ce fait, il lui était quasiment impossible de se présenter à un entretien d’embauche, ce qui compliquait considérablement sa recherche d'un nouvel emploi. De plus, étant donné que des déplacements n’étaient pas envisageables, même à proximité immédiate de son domicile, le recours aux services postaux ou autres services de messagerie pour apporter et retirer ses documents de travail ne pouvait être envisagé. Par ailleurs, même si elle travaillait à domicile, elle dépendrait d'un employeur très compréhensif dans le cadre d’un travail exempt de pression au rendement. Globalement, les aménagements que son employeur devrait lui fournir semblaient si importants que la recherche d'un poste adapté à ce stade paraissait a priori irréaliste (cf. cons. 5.3). Le Tribunal fédéral a toutefois rappelé que l'équilibre du marché du travail est un paramètre théorique, de sorte que la capacité de travail restante inexploitable ne peut être présumée à la légère (cf. arrêt du TF du 09.12.2021 [9C_500/2021] cons. 6.1). Dans le cas de la recourante, le Dr B.________ a indiqué qu’elle prenait la voiture, même si cela se produisait de manière très occasionnelle et sur de courts trajets. Tout comme elle semble apte à sortir de chez elle pour les achats, même si elle est accompagnée. S’il y a lieu de suivre la recourante lorsqu’elle soutient que les démarches administratives liées à l’organisation de son mariage ne sauraient démontrer sa capacité à accomplir des tâches administratives dans un cadre professionnel, dans la mesure où elles ont été réalisées avec l’aide de son époux et non de manière autonome, on relève toutefois qu’elle est, malgré le trouble agoraphobique diagnostiqué, capable de sortir de son domicile, comme en témoigne le fait qu’elle s’est mariée le 9 décembre 2022 ou qu’elle sorte accompagnée pour ses achats. Il y a donc lieu de considérer – contrairement à la situation qui prévalait dans l’arrêt précité où la personne assurée n’osait pas du tout sortir de chez elle – que la mobilité à proximité immédiate du domicile est raisonnable et que le recours aux services postaux ou autres services de messagerie pour la remise et la récupération des documents de travail peut être envisagé, aucune preuve médicale au dossier ne s’y opposant. Dans ces circonstances, il convient d’admettre que la recourante peut utiliser sa capacité de travail sur le marché du travail et qu’il existe suffisamment d’opportunités réalistes sur un marché du travail équilibré pour des personnes capables de travailler à 100 %, avec peu ou sans restriction particulière, depuis son domicile, dans un travail de type administratif pour lequel elle détient un CFC d’employée de commerce ainsi qu’une maturité professionnelle. Il n’apparaît ainsi pas que l’exercice d’un emploi à 100 % en télétravail ou depuis le domicile exigerait de l’employeur des concessions déraisonnables, de sorte qu’il ne saurait être retenu qu’il serait impossible de trouver un emploi correspondant. Un degré d'invalidité minimal de 40 % pour ouvrir le droit à une rente et de 20 % pour ouvrir le droit à des mesures d'ordre professionnel ne saurait en tout état de cause être atteint. La décision de refus de prestations doit par conséquent être confirmée. c) Il découle des considérations ci-dessus que le recours doit être rejeté.</w:t>
      </w:r>
    </w:p>
    <w:p>
      <w:r>
        <w:rPr>
          <w:b/>
        </w:rPr>
        <w:t>E. 4</w:t>
      </w:r>
    </w:p>
    <w:p>
      <w:r>
        <w:t>Vu l’issue du litige, les frais de procédure doivent être mis à la charge de la recourante (art. 61 let. f bis LPGA en relation avec l’art. 69 al. 1 bis LAI) qui ne peut par ailleurs pas prétendre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