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CDP.2024.20 vom 8. August 2024</w:t>
      </w:r>
    </w:p>
    <w:p>
      <w:r>
        <w:t>NE Tribunal cantonal, 2024-08-08, FR</w:t>
      </w:r>
    </w:p>
    <w:p>
      <w:r>
        <w:rPr>
          <w:b/>
        </w:rPr>
        <w:t xml:space="preserve">Quelle: </w:t>
      </w:r>
      <w:r>
        <w:t>https://mcp.opencaselaw.ch/entscheid/ne_gerichte_CDP.2024.20</w:t>
      </w:r>
    </w:p>
    <w:p>
      <w:r>
        <w:t>FR: NE_GERICHTE CDP.2024.20 du 8 août 2024</w:t>
      </w:r>
    </w:p>
    <w:p>
      <w:r>
        <w:t>IT: NE_GERICHTE CDP.2024.20 del 8 agosto 2024</w:t>
      </w:r>
    </w:p>
    <w:p>
      <w:pPr>
        <w:pStyle w:val="Heading2"/>
      </w:pPr>
      <w:r>
        <w:t>Erwägungen</w:t>
      </w:r>
    </w:p>
    <w:p>
      <w:r>
        <w:rPr>
          <w:b/>
        </w:rPr>
        <w:t>E. 1</w:t>
      </w:r>
    </w:p>
    <w:p>
      <w:r>
        <w:t>a) Afin de se prononcer sur la recevabilité du recours, il convient préalablement de déterminer le droit applicable, singulièrement si le litige est soumis ou non au droit des marchés publics. Celui-ci porte sur l’attribution par le Conseil communal de la Ville de La Chaux-de-Fonds d’une concession portant sur un monopole d’affichage. Un tel litige entre dans le champ de l’article</w:t>
      </w:r>
    </w:p>
    <w:p>
      <w:r>
        <w:rPr>
          <w:b/>
        </w:rPr>
        <w:t>E. 2</w:t>
      </w:r>
    </w:p>
    <w:p>
      <w:r>
        <w:t>sapplique aux marchés non soumis aux accords internationaux. En cas de marché public de services, la procédure de gré à gré sapplique en dessous de 150'000 francs, la procédure sur invitation en dessous de 250'000 francs et la procédure ouverte/sélective dès 250'000 francs. Ladjudicateur estime la valeur probable du marché (art. 15 al. 1AIMP 2019). Pour les contrats de durée déterminée, la valeur du marché est calculée en additionnant les rémunérations à verser sur toute la durée du contrat, y compris les rémunérations liées aux éventuelles options de prolongation (art. 15 al. 4AIMP 2019).</w:t>
      </w:r>
    </w:p>
    <w:p>
      <w:r>
        <w:t>c) En lespèce, la recourante soutient que la procédure dappel doffres na pas fait lobjet dune publication sur la plateforme SIMAP, si bien que lappel doffres doit être annulé et lintimé doit être invité à procéder à nouveau. Celui-ci prétend quil ne sagit pas dun marché ouvert ni dun marché sélectif, de sorte que larticle 48 al. 1AIMP 2019ne trouverait pas application. Il sagirait, selon lui, dune procédure sur invitation située entre 150'000 et 250'000 francs par an. Le montant de la redevance est de moins de 250'000 francs, selon les offres reçues. Il allègue que le défaut de publication na eu aucune conséquence pour la recourante qui a pu déposer un recours  alors que la finalité de larticle 48 al. 1AIMP 2019vise à ce que les concurrents soient informés de louverture du marché  ̶ , rendant ainsi son grief sans objet et/ou mal fondé.</w:t>
      </w:r>
    </w:p>
    <w:p>
      <w:r>
        <w:t>Contrairement à ce que soutient lintimé, la procédure dappel doffres relève bien dune procédure ouverte soumise à larticle 48AIMP 2019, comme celui-ci la expressément prévu dans son dossier dappel doffres : «[l]e cahier des charges et les conditions de la procédure sont adressés par voie électronique aux candidats qui en font la demande». On ajoutera que les déclarations de lintimé selon lesquelles le montant de la redevance serait de moins de 250'000 francs, selon les offres reçues, ne sont étayées par aucune pièce permettant de se convaincre du bien-fondé de ses propos. La recourante, gérant actuellement laffichage sur le domaine public communal de lintimé, a déposé une facture datée du 28 décembre 2023 relative à lannée 2023. Un montant net de 37'939 francs a été facturé à lintimé, si bien que lon peut estimer la valeur probable du marché, sur dix ans, à plus de 250'000 francs. Cette appréciation est dailleurs entièrement confirmée par la redevance que la recourante a offerte dans la présente affaire, laquelle, cumulée sur la durée du contrat, sélève également notablement à plus de 250'000 francs. En pareilles circonstances, lintimé aurait dû, quoi quil en soit, passer par la procédure ouverte dappel doffres et, dès lors, était tenu de réaliser une publication sur la plateforme SIMAP conformément aux exigences légales. Le fait que la recourante ait pu déposer un recours contre lappel doffre ny change rien. La procédure relative à lattribution par lintimé dune concession portant sur un monopole daffichage la été en violation de la procédure de publication prévue à larticle 48 al. 1AIMP 2019, ne permettant ainsi pas une concurrence efficace entre les soumissionnaires. Ce vice est, en l'espèce, à lui seul propre à entraîner l'annulation de lappel doffres du 8 janvier 2024.</w:t>
      </w:r>
    </w:p>
    <w:p>
      <w:r>
        <w:t>3.a) Le but de la législation en matière de marché public est de garantir le respect de principes énoncés dans lAIMP 2019, soit en particulier de garantir la non-discrimination et l'égalité de traitement de chaque soumissionnaire (art. 2 let. cAIMP 2019) ainsi qu'une concurrence efficace (art. 2 let. dAIMP 2019). Selon larticle 11 al. 1AIMP 2019, lors de la passation des marchés publics, ladjudicateur observe les principes suivants : il agit de manière transparente, objective et impartiale (let. a) ; il prend des mesures contre les conflits dintérêts, les accords illicites affectant la concurrence et la corruption (let. b) ; il veille à légalité de traitement des soumissionnaires dans toutes les phases de la procédure (let. c) ; il nengage pas de négociations portant sur le prix (let. d) ; il sengage à observer le caractère confidentiel des indications fournies par les soumissionnaires (let. e).</w:t>
      </w:r>
    </w:p>
    <w:p>
      <w:r>
        <w:t>Aux termes de larticle 29 AIMP, ladjudicateur évalue les offres sur la base de critères dadjudication en lien avec les prestations. Outre le prix et la qualité de la prestation, il peut notamment prendre en considération des critères tels que ladéquation, les délais, la valeur technique, la rentabilité, les coûts du cycle de vie, lesthétique, le développement durable, la plausibilité de l'offre, la créativité, le service après-vente, les conditions de livraison, linfrastructure, le caractère innovant, la fonctionnalité, le service à la clientèle, les compétences techniques et lefficacité de la méthode (al. 1). Pour les marchés non soumis aux accords internationaux, ladjudicateur peut prendre en compte à titre complémentaire la mesure dans laquelle les soumissionnaires offrent des places de formation professionnelle initiale, des places de travail pour les travailleurs âgés ou une réinsertion pour les chômeurs de longue durée (al. 2). Ladjudicateur indique les critères dadjudication et leur pondération dans lappel doffres ou dans les documents dappel doffres. Il peut renoncer à indiquer la pondération lorsque le marché porte sur des solutions, des propositions de solutions ou des procédés (al. 3).</w:t>
      </w:r>
    </w:p>
    <w:p>
      <w:r>
        <w:t>Pour autant quil respecte les principes dégalité de traitement, dinterdiction de discrimination et de libre concurrence décrits ci-dessous, le pouvoir adjudicateur dispose d'un large pouvoir d'appréciation dans le choix des critères d'adjudication. A cet égard, le contrôle de l'autorité de recours ne porte que sur la violation du droit, y compris l'excès ou l'abus du pouvoir d'appréciation et la constatation inexacte ou incomplète de faits pertinents, à l'exclusion du grief d'inopportunité (art. 56 al. 4AIMP 2019). Peut constituer un excès ou un abus du pouvoir d'appréciation, et donc une violation de la loi, le fait par exemple d'accorder à certains critères une importance manifestement disproportionnée ou d'appliquer un critère de manière arbitraire à certains soumissionnaires.</w:t>
      </w:r>
    </w:p>
    <w:p>
      <w:r>
        <w:t>b) De manière plus générale, le principe de non-discrimination se rattache principalement au principe de légalité de traitement de larticle 8 al. 1 Cst. féd. et à celui de la liberté économique de larticle 27 Cst. féd. (Poltier, Droit des marchés publics, 2eéd., Berne 2023, n. 493).  La liberté économique, telle que consacrée par l'article 27 Cst. féd. a pour but de protéger toute activité économique privée tendant à la production d'un gain, soit toute activité exercée par une personne dans un but lucratif. Elle garantit l'existence d'un ordre économique fondé sur le marché et sur un minimum de concurrence (Malinverni/Hottelier/Hertig Rendall/Flückiger, Droit constitutionnel suisse, vol. II, 2021, n. 960 et 1035 et les arrêts cités).</w:t>
      </w:r>
    </w:p>
    <w:p>
      <w:r>
        <w:t>c/aa) En lespèce, la recourante soutient que le contenu de lappel doffres de lintimé est arbitraire et viole les principes de légalité de traitement, de linterdiction de la discrimination et de la liberté économique, à mesure où lun des critères dadjudication, soit le critère 2 «Synergie de communication et valorisation des acteurs locaux  valeur 20 %», favorise un soumissionnaire potentiel, autrement dit un concurrent, à savoir C.________ SA (F.________ SA), qui est propriétaire du média local «D.________» et imprime également lhebdomadaire «E.________». Elle allègue que, dès lors quun acteur du marché de laffichage possède un journal et en imprime un autre, aucun autre concurrent actif dans le domaine de laffichage commercial ne serait à même dobtenir la notation maximale au critère dadjudication, de sorte que la concurrence équitable est mise à mal. Au surplus, elle fait valoir que le fait que des synergies puissent exister résulte dun choix entrepreneurial relevant de la liberté économique des entreprises. Lintimé ne peut se prévaloir ainsi daucun intérêt public, ni daucune justification à voir les acteurs médiatiques locaux être valorisés ou favorisés. Lintimé conteste le caractère discriminatoire et arbitraire du critère dadjudication. Il prétend quil ny a pas besoin dêtre un média local pour proposer des synergies de communication avec les acteurs locaux ; que cette situation pourrait même être favorable à la recourante, celle-ci étant lactuelle titulaire du monopole daffichage et ce depuis de nombreuses années ; quelle pouvait ainsi construire des liens et des partenariats locaux importants, et que même si le critère dadjudication peut être critiquable, le grief de la recourante savère être sans objet après le dépouillement et lanalyse des deux offres reçues. Il conteste également que le contenu de son appel doffres violerait la liberté économique des entreprises.</w:t>
      </w:r>
    </w:p>
    <w:p>
      <w:r>
        <w:t>c/bb) La collectivité publique doit en principe choisir des critères dadjudication en lien avec les prestations (cons. 3a ci-dessus). Dans le cas particulier, le critère visant une certaine collaboration avec les différents médias locaux est certes louable. En effet, sagissant dune activité qui, par définition, devait sexercer sur le territoire de lintimé, il est compréhensible dessayer de favoriser les synergies avec des acteurs locaux. On peut toutefois sérieusement douter que ce critère soit suffisamment en lien avec le marché en cause. À cela sajoute quun des soumissionnaires, qui a reçu le dossier dappel doffres, à savoir la société F.________ SA, est propriétaire du quotidien «D.________» et détient le centre dimpression de lhebdomadaire «E.________». La société F.________ SA est active dans le milieu de laffichage. Dès lors, contrairement à ce que prétend lintimé, un des soumissionnaires potentiels serait à lévidence avantagé de par son implication concrète et sa proximité certaine avec un certain nombre de médias locaux. Ce constat est renforcé, comme le relève la recourante, par le soutien financier de plus de 37'000 francs alloué par lintimé à «D.________» et «E.________». Le fait que la recourante est lactuelle titulaire du monopole daffichage ne permet pas de rétablir une égalité de traitement entre les différents soumissionnaires. Le critère dadjudication 2 viole ainsi le principe de légalité de traitement entre soumissionnaires et linterdiction de la discrimination. Il discrimine en effet les entreprises ou établissements qui ne seraient pas propriétaires de médias locaux ou impliqués dans ceux-ci.</w:t>
      </w:r>
    </w:p>
    <w:p>
      <w:r>
        <w:t>Dès lors, au vu des circonstances, lintimé ne peut faire usage dun tel critère dadjudication dans sa procédure dappel doffres.</w:t>
      </w:r>
    </w:p>
    <w:p>
      <w:r>
        <w:t>4.a) Pour ces motifs, le cahier des charges doit être annulé. Une nouvelle procédure dappel doffres devra être organisée ab ovo en respectant les principes dégagés ci-dessus, ce qui implique en particulier dappliquer le droit des marchés publics, conformément à larticle 9AIMP 2019.</w:t>
      </w:r>
    </w:p>
    <w:p>
      <w:r>
        <w:t>Le recours doit être admis, la décision litigieuse annulée, sans quil soit nécessaire de donner suite aux moyens de preuve requis, les pièces du dossier de la présente cause sétant révélées suffisantes pour trancher le litige. La cause sera renvoyée à lintimé pour initier une nouvelle procédure dappel doffres au sens de ce qui précède. Compte tenu de lissue du litige (reprise de la procédure ab ovo), le grief (éventuel) de la recourante tendant à la récusation de lentier de lintimé pour la présente procédure est sans objet et na dès lors pas à être examiné. Larrêt au fond rend la décision sur leffet suspensif sans objet.</w:t>
      </w:r>
    </w:p>
    <w:p>
      <w:r>
        <w:t>b) Vu lissue du litige, il ny a pas lieu de percevoir de frais (art. 47 al. 1 et 2LPJA, par renvoi de lart. 3 al. 1LCMP). Lavance de frais de la recourante lui sera restituée. Celle-ci, qui a procédé par lintermédiaire dun mandataire autorisé (art. 51 al. 1LPJA) a droit à une indemnité de dépens pour la présente procédure (art. 48 al. 1LPJA). En labsence dun mémoire dhonoraires, le temps consacré à la présente cause peut être évalué à quelque 15 heures au tarif de 280 francs de lheure, soit un montant de 4200 francs, auquel il faut rajouter les débours calculés forfaitairement à 10 % des dépens, soit 420 francs et la TVA à 8,1 %, par 374.20 francs, soit un total de 4'994.20 francs à charge de lintimé.</w:t>
      </w:r>
    </w:p>
    <w:p>
      <w:r>
        <w:t>Par ces motifs,la Cour de droit public</w:t>
      </w:r>
    </w:p>
    <w:p>
      <w:r>
        <w:t>1.Admet le recours.</w:t>
      </w:r>
    </w:p>
    <w:p>
      <w:r>
        <w:t>2.Annule la décision litigieuse et renvoie la cause à l'intimé pour nouvelle procédure dappel doffres, au sens des considérants du présent jugement.</w:t>
      </w:r>
    </w:p>
    <w:p>
      <w:r>
        <w:t>3.Dit que la décision sur leffet suspensif na plus dobjet.</w:t>
      </w:r>
    </w:p>
    <w:p>
      <w:r>
        <w:t>4.Statue sans frais et ordonne le remboursement à la recourante de son avance de frais.</w:t>
      </w:r>
    </w:p>
    <w:p>
      <w:r>
        <w:t>5.Alloue à la recourante une indemnité de dépens de4'994.20francs à la charge de l'intimé.</w:t>
      </w:r>
    </w:p>
    <w:p>
      <w:r>
        <w:t>Neuchâtel, le 8 août 2024</w:t>
      </w:r>
    </w:p>
    <w:p>
      <w:r>
        <w:rPr>
          <w:b/>
        </w:rPr>
        <w:t>E. 3</w:t>
      </w:r>
    </w:p>
    <w:p>
      <w:r>
        <w:t>a) Le but de la législation en matière de marché public est de garantir le respect de principes énoncés dans l’ AIMP 2019 , soit en particulier de garantir la non-discrimination et l'égalité de traitement de chaque soumissionnaire (art. 2 let. c AIMP 2019 ) ainsi qu'une concurrence efficace (art. 2 let. d AIMP 2019 ). Selon l’article 11 al. 1 AIMP 2019 , lors de la passation des marchés publics, l’adjudicateur observe les principes suivants : il agit de manière transparente, objective et impartiale (let. a) ; il prend des mesures contre les conflits d’intérêts, les accords illicites affectant la concurrence et la corruption (let. b) ; il veille à l’égalité de traitement des soumissionnaires dans toutes les phases de la procédure (let. c) ; il n’engage pas de négociations portant sur le prix (let. d) ; il s’engage à observer le caractère confidentiel des indications fournies par les soumissionnaires (let. e). Aux termes de l’article 29 AIMP, l’adjudicateur évalue les offres sur la base de critères d’adjudication en lien avec les prestations. Outre le prix et la qualité de la prestation, il peut notamment prendre en considération des critères tels que l’adéquation, les délais, la valeur technique, la rentabilité, les coûts du cycle de vie, l’esthétique, le développement durable, la plausibilité de l'offre, la créativité, le service après-vente, les conditions de livraison, l’infrastructure, le caractère innovant, la fonctionnalité, le service à la clientèle, les compétences techniques et l’efficacité de la méthode (al. 1). Pour les marchés non soumis aux accords internationaux, l’adjudicateur peut prendre en compte à titre complémentaire la mesure dans laquelle les soumissionnaires offrent des places de formation professionnelle initiale, des places de travail pour les travailleurs âgés ou une réinsertion pour les chômeurs de longue durée (al. 2). L’adjudicateur indique les critères d’adjudication et leur pondération dans l’appel d’offres ou dans les documents d’appel d’offres. Il peut renoncer à indiquer la pondération lorsque le marché porte sur des solutions, des propositions de solutions ou des procédés (al. 3). Pour autant qu’il respecte les principes d’égalité de traitement, d’interdiction de discrimination et de libre concurrence décrits ci-dessous, le pouvoir adjudicateur dispose d'un large pouvoir d'appréciation dans le choix des critères d'adjudication. A cet égard, le contrôle de l'autorité de recours ne porte que sur la violation du droit, y compris l'excès ou l'abus du pouvoir d'appréciation et la constatation inexacte ou incomplète de faits pertinents, à l'exclusion du grief d'inopportunité (art. 56 al. 4 AIMP 2019 ). Peut constituer un excès ou un abus du pouvoir d'appréciation, et donc une violation de la loi, le fait par exemple d'accorder à certains critères une importance manifestement disproportionnée ou d'appliquer un critère de manière arbitraire à certains soumissionnaires. b) De manière plus générale, le principe de non-discrimination se rattache principalement au principe de l’égalité de traitement de l’article 8 al. 1 Cst. féd. et à celui de la liberté économique de l’article 27 Cst. féd. ( Poltier , Droit des marchés publics, 2 e éd., Berne 2023, n. 493).  La liberté économique, telle que consacrée par l'article 27 Cst. féd. a pour but de protéger toute activité économique privée tendant à la production d'un gain, soit toute activité exercée par une personne dans un but lucratif. Elle garantit l'existence d'un ordre économique fondé sur le marché et sur un minimum de concurrence ( Malinverni/Hottelier/Hertig Rendall/Flückiger , Droit constitutionnel suisse, vol. II, 2021, n. 960 et 1035 et les arrêts cités). c/aa) En l’espèce, la recourante soutient que le contenu de l’appel d’offres de l’intimé est arbitraire et viole les principes de l’égalité de traitement, de l’interdiction de la discrimination et de la liberté économique, à mesure où l’un des critères d’adjudication, soit le critère 2 « Synergie de communication et valorisation des acteurs locaux – valeur 20 % », favorise un soumissionnaire potentiel, autrement dit un concurrent, à savoir C.________ SA (F.________ SA), qui est propriétaire du média local « D.________ » et imprime également l’hebdomadaire « E.________ ». Elle allègue que, dès lors qu’un acteur du marché de l’affichage possède un journal et en imprime un autre, aucun autre concurrent actif dans le domaine de l’affichage commercial ne serait à même d’obtenir la notation maximale au critère d’adjudication, de sorte que la concurrence équitable est mise à mal. Au surplus, elle fait valoir que le fait que des synergies puissent exister résulte d’un choix entrepreneurial relevant de la liberté économique des entreprises. L’intimé ne peut se prévaloir ainsi d’aucun intérêt public, ni d’aucune justification à voir les acteurs médiatiques locaux être valorisés ou favorisés. L’intimé conteste le caractère discriminatoire et arbitraire du critère d’adjudication. Il prétend qu’il n’y a pas besoin d’être un média local pour proposer des synergies de communication avec les acteurs locaux ; que cette situation pourrait même être favorable à la recourante, celle-ci étant l’actuelle titulaire du monopole d’affichage et ce depuis de nombreuses années ; qu’elle pouvait ainsi construire des liens et des partenariats locaux importants, et que même si le critère d’adjudication peut être critiquable, le grief de la recourante s’avère être sans objet après le dépouillement et l’analyse des deux offres reçues. Il conteste également que le contenu de son appel d’offres violerait la liberté économique des entreprises. c/bb) La collectivité publique doit en principe choisir des critères d’adjudication en lien avec les prestations (cons. 3a ci-dessus). Dans le cas particulier, le critère visant une certaine collaboration avec les différents médias locaux est certes louable. En effet, s’agissant d’une activité qui, par définition, devait s’exercer sur le territoire de l’intimé, il est compréhensible d’essayer de favoriser les synergies avec des acteurs locaux. On peut toutefois sérieusement douter que ce critère soit suffisamment en lien avec le marché en cause. À cela s’ajoute qu’un des soumissionnaires, qui a reçu le dossier d’appel d’offres, à savoir la société F.________ SA, est propriétaire du quotidien « D.________ » et détient le centre d’impression de l’hebdomadaire « E.________ ». La société F.________ SA est active dans le milieu de l’affichage. Dès lors, contrairement à ce que prétend l’intimé, un des soumissionnaires potentiels serait à l’évidence avantagé de par son implication concrète et sa proximité certaine avec un certain nombre de médias locaux. Ce constat est renforcé, comme le relève la recourante, par le soutien financier de plus de 37'000 francs alloué par l’intimé à « D.________ » et « E.________ ». Le fait que la recourante est l’actuelle titulaire du monopole d’affichage ne permet pas de rétablir une égalité de traitement entre les différents soumissionnaires. Le critère d’adjudication 2 viole ainsi le principe de l’égalité de traitement entre soumissionnaires et l’interdiction de la discrimination. Il discrimine en effet les entreprises ou établissements qui ne seraient pas propriétaires de médias locaux ou impliqués dans ceux-ci. Dès lors, au vu des circonstances, l’intimé ne peut faire usage d’un tel critère d’adjudication dans sa procédure d’appel d’offres.</w:t>
      </w:r>
    </w:p>
    <w:p>
      <w:r>
        <w:rPr>
          <w:b/>
        </w:rPr>
        <w:t>E. 4</w:t>
      </w:r>
    </w:p>
    <w:p>
      <w:r>
        <w:t>a) Pour ces motifs, le cahier des charges doit être annulé. Une nouvelle procédure d’appel d’offres devra être organisée ab ovo en respectant les principes dégagés ci-dessus, ce qui implique en particulier d’appliquer le droit des marchés publics, conformément à l’article 9 AIMP 2019 . Le recours doit être admis, la décision litigieuse annulée, sans qu’il soit nécessaire de donner suite aux moyens de preuve requis, les pièces du dossier de la présente cause s’étant révélées suffisantes pour trancher le litige. La cause sera renvoyée à l’intimé pour initier une nouvelle procédure d’appel d’offres au sens de ce qui précède. Compte tenu de l’issue du litige (reprise de la procédure ab ovo), le grief (éventuel) de la recourante tendant à la récusation de l’entier de l’intimé pour la présente procédure est sans objet et n’a dès lors pas à être examiné. L’arrêt au fond rend la décision sur l’effet suspensif sans objet. b) Vu l’issue du litige, il n’y a pas lieu de percevoir de frais (art. 47 al. 1 et 2 LPJA , par renvoi de l’art. 3 al. 1 LCMP ). L’avance de frais de la recourante lui sera restituée. Celle-ci, qui a procédé par l’intermédiaire d’un mandataire autorisé (art. 51 al. 1 LPJA ) a droit à une indemnité de dépens pour la présente procédure (art. 48 al. 1 LPJA ). En l’absence d’un mémoire d’honoraires, le temps consacré à la présente cause peut être évalué à quelque 15 heures au tarif de 280 francs de l’heure, soit un montant de 4’200 francs, auquel il faut rajouter les débours calculés forfaitairement à 10 % des dépens, soit 420 francs et la TVA à 8,1 %, par 374.20 francs, soit un total de 4'994.20 francs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