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CDP.2024.192 vom 21. November 2025</w:t>
      </w:r>
    </w:p>
    <w:p>
      <w:r>
        <w:t>NE Tribunal cantonal, 2025-11-21, FR</w:t>
      </w:r>
    </w:p>
    <w:p>
      <w:r>
        <w:rPr>
          <w:b/>
        </w:rPr>
        <w:t xml:space="preserve">Quelle: </w:t>
      </w:r>
      <w:r>
        <w:t>https://mcp.opencaselaw.ch/entscheid/ne_gerichte_CDP.2024.192</w:t>
      </w:r>
    </w:p>
    <w:p>
      <w:r>
        <w:t>FR: NE_GERICHTE CDP.2024.192 du 21 novembre 2025</w:t>
      </w:r>
    </w:p>
    <w:p>
      <w:r>
        <w:t>IT: NE_GERICHTE CDP.2024.192 del 21 novembre 2025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al. 1 let. b RAI, le recourant explique quil ne serait pas en mesure de faire ses achats, davoir des loisirs et dassurer les contacts nécessaires avec les services médicaux sans être accompagné de son épouse, laquelle se rend du reste avec lui à ses rendez-vous médicaux (certificats du 21.03.24 de la Dre D.________ et du 16.04.24 du Dr B.________). Or lassistance dautrui pour laider à entretenir des contacts sociaux a déjà été pris en compte sous lacte ordinaire de la vie «se déplacer» lors de la première enquête à domicile, comme lOAI la relevé à juste titre (notice du juriste de lOAI du 14.06.22). Cette prestation ne saurait donc être retenue une seconde fois (arrêt du TF du 11.12.2014 [9C_691/2014] ; cons. 3d supra).</w:t>
      </w:r>
    </w:p>
    <w:p>
      <w:r>
        <w:t>c/cc) Quant au besoin daccompagnement pour éviter un risque important de sisoler durablement du monde extérieur (art. 38 al. 1 let. c RAI), et quoi quen dise le recourant, il ne peut être admis, dès lors quil vit avec son épouse et entretien de bons contacts avec ses enfants et ses parents.</w:t>
      </w:r>
    </w:p>
    <w:p>
      <w:r>
        <w:t>8.Au vu de ce qui précède, le recourant ne peut pas être suivi lorsquil déclare que les conditions de la révision au sens de lart. 17 LPGA sont remplies ou, en dautres termes, que laggravation de ses douleurs étaient propres à influencer son degré dimpotence. La situation ne sest pas fondamentalement modifiée depuis 2017 du point de vue médical et, quoi quil en soit, le recourant ne fait ni lobjet dautres empêchements dans les actes ordinaires de la vie ni ne nécessite un besoin daccompagnement pour faire face aux nécessités de la vie à laune des rapports denquêtes à domicile.</w:t>
      </w:r>
    </w:p>
    <w:p>
      <w:r>
        <w:t>Dans ces circonstances, il ne se justifie pas de produire le dossier de lépouse du recourant, puisque lexamen de laide exigible de son entourage nest pas nécessaire dans le cas despèce. Enfin, la production du rapport médical du 9 janvier 2020 dans le cadre de la présente procédure ne lui est daucun secours puisquil concerne son fils ; lon ne voit pas en quoi celui-ci aurait une quelconque influence sur sa situation personnelle ou médicale.</w:t>
      </w:r>
    </w:p>
    <w:p>
      <w:r>
        <w:t>Le recours, mal fondé, doit donc être rejeté.</w:t>
      </w:r>
    </w:p>
    <w:p>
      <w:r>
        <w:t>9.Vu lissue du litige, les frais de procédure doivent être mis à la charge du recourant (art. 61 let. fbisLPGA en relation avec lart. 69 al. 1bisLAI), qui na pas droit à des dépens (art. 61 let. g LPGA,a contrario).</w:t>
      </w:r>
    </w:p>
    <w:p>
      <w:r>
        <w:t>Par ces motifs,la Cour de droit public</w:t>
      </w:r>
    </w:p>
    <w:p>
      <w:r>
        <w:t>1.Rejette le recours.</w:t>
      </w:r>
    </w:p>
    <w:p>
      <w:r>
        <w:t>2.Met les frais de la procédure par 660 francs à charge du recourant, montant compensé par son avance.</w:t>
      </w:r>
    </w:p>
    <w:p>
      <w:r>
        <w:t>3.Nalloue pas de dépens.</w:t>
      </w:r>
    </w:p>
    <w:p>
      <w:r>
        <w:t>Neuchâtel, le 21 novembre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