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CDP.2024.155 vom 15. August 2025</w:t>
      </w:r>
    </w:p>
    <w:p>
      <w:r>
        <w:t>NE Tribunal cantonal, 2025-08-15, FR</w:t>
      </w:r>
    </w:p>
    <w:p>
      <w:r>
        <w:rPr>
          <w:b/>
        </w:rPr>
        <w:t xml:space="preserve">Quelle: </w:t>
      </w:r>
      <w:r>
        <w:t>https://mcp.opencaselaw.ch/entscheid/ne_gerichte_CDP.2024.155</w:t>
      </w:r>
    </w:p>
    <w:p>
      <w:r>
        <w:t>FR: NE_GERICHTE CDP.2024.155 du 15 août 2025</w:t>
      </w:r>
    </w:p>
    <w:p>
      <w:r>
        <w:t>IT: NE_GERICHTE CDP.2024.155 del 15 agosto 2025</w:t>
      </w:r>
    </w:p>
    <w:p>
      <w:pPr>
        <w:pStyle w:val="Heading2"/>
      </w:pPr>
      <w:r>
        <w:t>Erwägungen</w:t>
      </w:r>
    </w:p>
    <w:p>
      <w:r>
        <w:rPr>
          <w:b/>
        </w:rPr>
        <w:t>E. 1</w:t>
      </w:r>
    </w:p>
    <w:p>
      <w:r>
        <w:t>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w:t>
      </w:r>
    </w:p>
    <w:p>
      <w:r>
        <w:t>Taux dinvalidité</w:t>
      </w:r>
    </w:p>
    <w:p>
      <w:r>
        <w:t>Quotité de la rente</w:t>
      </w:r>
    </w:p>
    <w:p>
      <w:r>
        <w:t>49 %</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b)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106cons. 4.3 et 4.4).</w:t>
      </w:r>
    </w:p>
    <w:p>
      <w:r>
        <w:t>c) Aux termes de larticle17 al. 1 LPGA, la rente dinvalidité est, doffice ou sur demande, révisée pour lavenir, à savoir augmentée, réduite ou supprimée, lorsque le taux dinvalidité de lassuré : subit une modification dau moins 5 points de pourcentage (let. a), ou atteint 100 % (let. b).Tout changement important des circonstances propres à influencer le degré d'invalidité et donc le droit à la rente, peut motiver une révision selon larticle17 LPGA. La rente peut être révisée non seulement en cas de modification sensible de l'état de santé mais aussi lorsque celui-ci est resté en soi le même, mais que ses conséquences sur la capacité de gain ont subi un changement important (ATF 134 V 131cons. 3,130 V 343cons. 3.5). Tel est le cas lorsque la capacité de travail s'améliore grâce à l'accoutumance ou une adaptation au handicap. En revanche, une simple appréciation différente d'un état de fait qui, pour l'essentiel, est demeuré inchangé n'appelle pas une révision au sens de l'article17 LPGA(ATF 141 V 9cons. 2.3). Un motif de révision au sens de l'article17 LPGAdoit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9cons. 2.3).</w:t>
      </w:r>
    </w:p>
    <w:p>
      <w:r>
        <w:t>Par ailleurs, à mesure que les règles régissant les cas de révision sappliquent par analogie lorsquune décision accorde une rente avec effet rétroactif et, en même temps, prévoit sa réduction ou sa suppression (art.17 LPGA;ATF 145 V 209cons. 5.3 et131 V 164cons. 2.2 ; arrêt du TF du 05.01.2008 [9C_244/2007] cons. 2.2),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88a RAI (arrêt du TF du17.07.2015 [9C_333/2015]cons. 2.3 et 3.2 et du29.04.2008 [9C_556/2007]cons. 3 et les réf. cit.).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(1èrephrase) ; il en va de même lorsquun tel changement déterminant a duré trois mois déjà, sans interruption notable et sans quune complication prochaine soit à craindre (2èmephrase).</w:t>
      </w:r>
    </w:p>
    <w:p>
      <w:r>
        <w:t>Enfin, le fardeau de la preuve quant à cette amélioration de la capacité de travail incombe à loffice AI (arrêt du TF du15.04.2021 [8C_510/2020]cons. 2.2 et les réf. cit.).</w:t>
      </w:r>
    </w:p>
    <w:p>
      <w:r>
        <w:t>4.a)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193cons. 3.2 et les réf. cit.).</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450cons. 11.1.3,125 V 351cons. 3a et les réf. cit.).</w:t>
      </w:r>
    </w:p>
    <w:p>
      <w:r>
        <w:t>c) La jurisprudence a posé des lignes directrices en ce qui concerne la manière d'apprécier certains types de documents médicaux. Le juge procède à cette appréciation selon le principe de la libre appréciation des preuves selon les types de documents médicaux (ATF 125 V 351cons. 3a ;Riemer-Kafka[Edit.],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4.5,125 V 351cons. 3a/cc). Cette constatation s'applique de même aux médecins non traitants ou spécialistes (expertises privées) consultés par un patient en vue d'obtenir un moyen de preuve à l'appui de sa requête (arrêt du TF du29.10.2003 [I 321/03]cons. 3.1 ;Valterio, Commentaire LAI, ad art. 57 n. 48). Toutefois, le simple fait qu'un certificat médical ou une expertise soit établi à la demande d'une partie et soit produit pendant la procédure ne justifie pas en soi de douter de sa valeur probante (ATF 125 V 351cons. 3b/dd et les réf. cit.).</w:t>
      </w:r>
    </w:p>
    <w:p>
      <w:r>
        <w:t>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du03.09.2015 [9C_858/2014]cons.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54a al. 2 et 3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t>5.Le litige porte sur la suppression du droit à la rente entière dinvalidité au-delà du 30 novembre 2023 dont loctroi jusquà cette date nest pas remis en cause.</w:t>
      </w:r>
    </w:p>
    <w:p>
      <w:r>
        <w:t>a) Fondé en particulier sur lavis du 26 janvier 2024 du Dr K.________, lOAI considère que la recourante a recouvré une pleine capacité de travail dans une activité adaptée à partir du 1erseptembre 2023. Il ny a plus de pathologie incapacitante avec le carcinome canalaire invasif du sein droit depuis mars 2023. Il en va de même sur le plan orthopédique en lien avec le pouce droit depuis le 28 juin 2023 et, au niveau endocrinologique, la Dre I.________ rapporte une évolution favorable de la maladie de Basedow sous traitement. Quant au volet neurologique, lexamen est pratiquement dans les limites de la norme en ce sens quil existe une stabilité de la charge lésionnelle au niveau cérébral sans présence de lésion médullaire. Concernant les douleurs au niveau du rachis et plus particulièrement au niveau lombosciatique L5-S1, il nexiste aucun syndrome radiculaire, la recourante étant du reste asymptomatique.</w:t>
      </w:r>
    </w:p>
    <w:p>
      <w:r>
        <w:t>La recourante conteste cette appréciation. Sur le plan oncologique, la lésion cérébelleuse avec dème péri-lésionnel na pas évolué aussi favorablement que prévu puisquelle doit prendre des stéroïdes à haute dose. De plus, une IRM du mois de décembre 2023 met en évidence une légère progression de la lésion et de ldème cérébral péri-lésionnel compatible avec une radionécrose. Selon elle, le cumul successif de ses problèmes de santé est à lorigine de son état anxio-dépressif et de sa thérapie psychiatrique.</w:t>
      </w:r>
    </w:p>
    <w:p>
      <w:r>
        <w:t>b) En lespèce, les suites de lopération du pouce droit en mars 2023 sont sans particularités. Afin de tenir compte des douleurs inhérentes à cette intervention, la Dre H.________ retient une incapacité de travail jusquau 28 juin 2023. Elle constate par la suite une évolution très favorable puisque la recourante a repris toutes ses activités. Sur le plan orthopédique, aucune atteinte à la santé invalidante au sens de la LAI ne saurait être retenue au-delà de ce qui est admis par le médecin prénommé.</w:t>
      </w:r>
    </w:p>
    <w:p>
      <w:r>
        <w:t>Sur le plan endocrinologique, la Dre I.________ évoque une maladie de Basedow asymptomatique et ne prononce aucune incapacité de travail y relative.</w:t>
      </w:r>
    </w:p>
    <w:p>
      <w:r>
        <w:t>Au niveau oncologique, la taille de la lésion cérébelleuse augmente, de même que ldème péri lésionnel de la métastase à lorigine du traitement aux stéroïdes. Ces augmentations sont qualifiées de discrètes par les médecins du Service de radiologie de lHôpital_1 alors que la Dre F.________ évoque une augmentation importante de ldème dans son rapport du 14 novembre 2023. Cela étant, celle-ci nobserve aucune symptomatologie malgré deux épisodes de céphalées intenses courant octobre 2023 rapportés par la recourante. De plus, dans ses différents rapports et plus particulièrement dans son avis du 21 décembre 2023, la Dre C.________ nexplique pas en quoi laugmentation de la lésion cérébelleuse entraînerait une incapacité de travail. Elle se limite à mentionner les effets dus à larrêt du traitement médicamenteux, soit une recrudescence des céphalées, sans se prononcer sur leur fréquence. Or la recourante faisait déjà lobjet de rares migraines sans aura et rares céphalées de tension avant lévolution de son état de santé, ce qui permet de donner crédit au constat établi par la Dre F.________.</w:t>
      </w:r>
    </w:p>
    <w:p>
      <w:r>
        <w:t>Pour ce qui est du volet neurologique, létat de santé est stabilisé. Lexamen est pratiquement dans les limites de la norme, sans mise en évidence de nouveaux signes neurologiques ni augmentation dun déficit fonctionnel. Le Dr E.________ ne retient du reste aucune incapacité de travail dans ses derniers rapports des 16 janvier et 2 octobre 2023. Certes, la Dre C.________ mentionne-t-elle une importante fatigabilité. Cette situation nest cependant pas nouvelle puisque ce médecin la déjà évoquée dans son rapport du 4 mars 2019 et sest néanmoins prononcé pour une pleine capacité de travail dans lactivité habituelle moyennant un aménagement de son poste. Il convient dajouter que lavis de ce médecin traitant nest pas constant. En effet, il ressort de son rapport du 5 novembre 2023 que la fatigue serait une conséquence de la SEP alors quil considère le 21 décembre 2023 que la fatigue serait non plus seulement liée à la SEP mais également aux suites oncologiques. Cela étant, comme développé ci-dessus, la recourante est asymptomatique au niveau oncologique. La Dre C.________ nexplique donc pas en quoi et pourquoi la fatigabilité accrue ressentie par la recourante serait différente de celle qui existait en 2019 justifiant cette fois-ci une incapacité de travail ou de nouvelles limitations fonctionnelles.</w:t>
      </w:r>
    </w:p>
    <w:p>
      <w:r>
        <w:t>Le Dr E.________ mentionne enfin, sur la base des imageries, une évolution délétère de la colonne vertébrale. Il narrête toutefois jamais dincapacité de travail y relative, à linstar du corps médical, et relève même dans son rapport du 2 octobre 2023 que la recourante ne se plaint plus de cervico-brachialgies. Quant à la Dre C.________, à défaut de retenir une incapacité de travail dans son avis du 21 décembre 2023, elle retient des limitations fonctionnelles qui ne sont toutefois pas incompatibles avec lexercice dune activité adaptée à plein temps.</w:t>
      </w:r>
    </w:p>
    <w:p>
      <w:r>
        <w:t>En revanche, la recourante présente un état anxio-dépressif. Quand bien même ce diagnostic est posé par la Dre F.________ et par la Dre I.________ et que leur avis doit être relativisé à défaut de toute compétence en la matière au vu de leur domaine de spécialisation, il nempêche que la recourante est notamment suivie par le Dr N.________, spécialiste FMH en psychiatrie et psychothérapie, auprès du Service doncologie de lHôpital_1. Un suivi psychiatrique est aussi confirmé par la Dre L.________, ce que la recourante fait valoir dans la procédure de recours. Même si ce diagnostic a déjà été posé lors de la première demande de prestations AI par la Dre C.________, il nest pas invraisemblable que des troubles psychiatriques plus importants soient apparus dans le cadre de la deuxième demande de prestations au vu de lhistorique de la recourante (interventions sous forme dinfiltrations ou chirurgicales, douleurs anciennes ou nouvelles mais à tout le moins quasi constantes). Il y a aussi lieu de préciser quil ne ressort pas du dossier que la recourante ait été suivie par un psychiatre lors de la première demande. Cela étant, lon ignore ce quil en est à défaut de tout document idoine sur le plan psychiatrique. Quand bien même la recourante na pas produit de rapport émanant dun psychiatre, cela ne saurait renverser le fardeau de la preuve qui incombe, conformément à la jurisprudence susmentionnée, à lOAI. Or ce dernier ne pouvait se passer dinstruire la cause sous cet angle au vu de ce qui précède.</w:t>
      </w:r>
    </w:p>
    <w:p>
      <w:r>
        <w:t>d) Ainsi, et contrairement à ce que soutient lOAI, il nest pas possible de conclure à ce stade et sans instruction complémentaire à une amélioration de létat de santé de la recourante à partir du 1erseptembre 2023, date vraisemblablement arrêtée par application de larticle 88a al. 1 RAI au regard de lincapacité totale de travail prononcée jusquau 28 juin 2023 par la Dre H.________ en lien avec la dernière opération chirurgicale subie par la recourante.S'agissant dès lors de la nécessité d'élucider des questions non réglées par l'administration (ATF 137 V 210cons. 4.4.1.4), il convient d'ordonner le renvoi de la cause à l'OAI, à qui il appartient au premier chef d'instruire, conformément au principe inquisitoire qui régit la procédure dans le domaine des assurances sociales, selon l'article 43 al. 1 LPGA. Il lui incombera donc de mettre en uvre les mesures dinstruction nécessaires permettant de déterminer à satisfaction de droit létat de santé de la recourante à tout le moins au niveau psychiatriqueafin de déterminer le droit éventuel aux prestations au-delà du 30 novembre 2023, étant rappelé que loctroi dune rente entière jusquà cette date nest pas remis en cause.</w:t>
      </w:r>
    </w:p>
    <w:p>
      <w:r>
        <w:t>6.Vu l'issue de la procédure, les frais de justice sont mis à la charge de l'intimé qui succombe (art. 69 al. 1 bis LAI). L'avance de frais effectuée par la recourante lui sera restituée.</w:t>
      </w:r>
    </w:p>
    <w:p>
      <w:r>
        <w:t>La recourante n'est pas représentée par un mandataire professionnel. Il n'est dès lors pas alloué d'indemnité de dépens (art. 61 let. g LPGA).</w:t>
      </w:r>
    </w:p>
    <w:p>
      <w:r>
        <w:t>Par ces motifs,la Cour de droit public</w:t>
      </w:r>
    </w:p>
    <w:p>
      <w:r>
        <w:t>1.Admet le recours.</w:t>
      </w:r>
    </w:p>
    <w:p>
      <w:r>
        <w:t>2.Annule la décision attaquée en ce sens quelle supprime la rente entière dinvalidité à compter du 1ernovembre 2023 et renvoie la cause à lintimé pour instruction complémentaire et nouvelle décision au sens des considérants.</w:t>
      </w:r>
    </w:p>
    <w:p>
      <w:r>
        <w:t>3.Met à la charge de lintimé les frais de procédure par 660 francs.</w:t>
      </w:r>
    </w:p>
    <w:p>
      <w:r>
        <w:t>4.Ordonne la restitution à la recourante de son avance de frais.</w:t>
      </w:r>
    </w:p>
    <w:p>
      <w:r>
        <w:t>5.Nalloue pas de dépens.</w:t>
      </w:r>
    </w:p>
    <w:p>
      <w:r>
        <w:t>Neuchâtel, le 15 août 2025</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144 V 210 cons. 4.3.1 et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 cit.). b) En l’espèce, le rapport du 20 août 2024 de la Dre L.________ a trait en partie à l’état de fait existant au moment où la décision litigieuse a été rendue et peut donc être retenu. En revanche, tous les autres rapports produits par la recourante à l’appui de son recours (en lien avec l’évolution de la métastase cérébrale) concernent des faits postérieurs à la décision entreprise. Il n’y a donc pas lieu d’en tenir compte.</w:t>
      </w:r>
    </w:p>
    <w:p>
      <w:r>
        <w:rPr>
          <w:b/>
        </w:rPr>
        <w:t>E. 3</w:t>
      </w:r>
    </w:p>
    <w:p>
      <w:r>
        <w:t>a) En vertu de l’article</w:t>
      </w:r>
    </w:p>
    <w:p>
      <w:r>
        <w:rPr>
          <w:b/>
        </w:rPr>
        <w:t>E. 4</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 cit.).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 cit.). c) La jurisprudence a posé des lignes directrices en ce qui concerne la manière d'apprécier certains types de documents médicaux. Le juge procède à cette appréciation selon le principe de la libre appréciation des preuves selon les types de documents médicaux ( ATF 125 V 351 cons. 3a ; Riemer-Kafka [Edit.], Expertises en médecine des assurances, 3 e 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 ATF 135 V 465 , cons. 4.5, 125 V 351 cons. 3a/cc). Cette constatation s'applique de même aux médecins non traitants ou spécialistes (expertises privées) consultés par un patient en vue d'obtenir un moyen de preuve à l'appui de sa requête (arrêt du TF du 29.10.2003 [I 321/03] cons. 3.1 ; Valterio , Commentaire LAI, ad art. 57 n. 48). Toutefois, le simple fait qu'un certificat médical ou une expertise soit établi à la demande d'une partie et soit produit pendant la procédure ne justifie pas en soi de douter de sa valeur probante ( ATF 125 V 351 cons. 3b/dd et les réf. cit.). Concernant les SMR, ceux-ci évaluent, en vertu de l’article 49 al. 1 RAI et de l’article 54a al. 2 et 3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54a al. 2 et 3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rPr>
          <w:b/>
        </w:rPr>
        <w:t>E. 5</w:t>
      </w:r>
    </w:p>
    <w:p>
      <w:r>
        <w:t>Le litige porte sur la suppression du droit à la rente entière d’invalidité au-delà du 30 novembre 2023 dont l’octroi jusqu’à cette date n’est pas remis en cause. a) Fondé en particulier sur l’avis du 26 janvier 2024 du Dr K.________, l’OAI considère que la recourante a recouvré une pleine capacité de travail dans une activité adaptée à partir du 1 er septembre 2023. Il n’y a plus de pathologie incapacitante avec le carcinome canalaire invasif du sein droit depuis mars 2023. Il en va de même sur le plan orthopédique en lien avec le pouce droit depuis le 28 juin 2023 et, au niveau endocrinologique, la Dre I.________ rapporte une évolution favorable de la maladie de Basedow sous traitement. Quant au volet neurologique, l’examen est pratiquement dans les limites de la norme en ce sens qu’il existe une stabilité de la charge lésionnelle au niveau cérébral sans présence de lésion médullaire. Concernant les douleurs au niveau du rachis et plus particulièrement au niveau lombosciatique L5-S1, il n’existe aucun syndrome radiculaire, la recourante étant du reste asymptomatique. La recourante conteste cette appréciation. Sur le plan oncologique, la lésion cérébelleuse avec œdème péri-lésionnel n’a pas évolué aussi favorablement que prévu puisqu’elle doit prendre des stéroïdes à haute dose. De plus, une IRM du mois de décembre 2023 met en évidence une légère progression de la lésion et de l’œdème cérébral péri-lésionnel compatible avec une radionécrose. Selon elle, le cumul successif de ses problèmes de santé est à l’origine de son état anxio-dépressif et de sa thérapie psychiatrique. b) En l’espèce, les suites de l’opération du pouce droit en mars 2023 sont sans particularités. Afin de tenir compte des douleurs inhérentes à cette intervention, la Dre H.________ retient une incapacité de travail jusqu’au 28 juin 2023. Elle constate par la suite une évolution très favorable puisque la recourante a repris toutes ses activités. Sur le plan orthopédique, aucune atteinte à la santé invalidante au sens de la LAI ne saurait être retenue au-delà de ce qui est admis par le médecin prénommé. Sur le plan endocrinologique, la Dre I.________ évoque une maladie de Basedow asymptomatique et ne prononce aucune incapacité de travail y relative. Au niveau oncologique, la taille de la lésion cérébelleuse augmente, de même que l’œdème péri lésionnel de la métastase à l’origine du traitement aux stéroïdes. Ces augmentations sont qualifiées de discrètes par les médecins du Service de radiologie de l’Hôpital_1 alors que la Dre F.________ évoque une augmentation importante de l’œdème dans son rapport du 14 novembre 2023. Cela étant, celle-ci n’observe aucune symptomatologie malgré deux épisodes de céphalées intenses courant octobre 2023 rapportés par la recourante. De plus, dans ses différents rapports et plus particulièrement dans son avis du 21 décembre 2023, la Dre C.________ n’explique pas en quoi l’augmentation de la lésion cérébelleuse entraînerait une incapacité de travail. Elle se limite à mentionner les effets dus à l’arrêt du traitement médicamenteux, soit une recrudescence des céphalées, sans se prononcer sur leur fréquence. Or la recourante faisait déjà l’objet de rares migraines sans aura et rares céphalées de tension avant l’évolution de son état de santé, ce qui permet de donner crédit au constat établi par la Dre F.________. Pour ce qui est du volet neurologique, l’état de santé est stabilisé. L’examen est pratiquement dans les limites de la norme, sans mise en évidence de nouveaux signes neurologiques ni augmentation d’un déficit fonctionnel. Le Dr E.________ ne retient du reste aucune incapacité de travail dans ses derniers rapports des 16 janvier et 2 octobre 2023. Certes, la Dre C.________ mentionne-t-elle une importante fatigabilité. Cette situation n’est cependant pas nouvelle puisque ce médecin l’a déjà évoquée dans son rapport du 4 mars 2019 et s’est néanmoins prononcé pour une pleine capacité de travail dans l’activité habituelle moyennant un aménagement de son poste. Il convient d’ajouter que l’avis de ce médecin traitant n’est pas constant. En effet, il ressort de son rapport du 5 novembre 2023 que la fatigue serait une conséquence de la SEP alors qu’il considère le 21 décembre 2023 que la fatigue serait non plus seulement liée à la SEP mais également aux suites oncologiques. Cela étant, comme développé ci-dessus, la recourante est asymptomatique au niveau oncologique. La Dre C.________ n’explique donc pas en quoi et pourquoi la fatigabilité accrue ressentie par la recourante serait différente de celle qui existait en 2019 justifiant cette fois-ci une incapacité de travail ou de nouvelles limitations fonctionnelles. Le Dr E.________ mentionne enfin, sur la base des imageries, une évolution délétère de la colonne vertébrale. Il n’arrête toutefois jamais d’incapacité de travail y relative, à l’instar du corps médical, et relève même dans son rapport du 2 octobre 2023 que la recourante ne se plaint plus de cervico-brachialgies. Quant à la Dre C.________, à défaut de retenir une incapacité de travail dans son avis du 21 décembre 2023, elle retient des limitations fonctionnelles qui ne sont toutefois pas incompatibles avec l’exercice d’une activité adaptée à plein temps. En revanche, la recourante présente un état anxio-dépressif. Quand bien même ce diagnostic est posé par la Dre F.________ et par la Dre I.________ et que leur avis doit être relativisé à défaut de toute compétence en la matière au vu de leur domaine de spécialisation, il n’empêche que la recourante est notamment suivie par le Dr N.________, spécialiste FMH en psychiatrie et psychothérapie, auprès du Service d’oncologie de l’Hôpital_1. Un suivi psychiatrique est aussi confirmé par la Dre L.________, ce que la recourante fait valoir dans la procédure de recours. Même si ce diagnostic a déjà été posé lors de la première demande de prestations AI par la Dre C.________, il n’est pas invraisemblable que des troubles psychiatriques plus importants soient apparus dans le cadre de la deuxième demande de prestations au vu de l’historique de la recourante (interventions sous forme d’infiltrations ou chirurgicales, douleurs anciennes ou nouvelles mais à tout le moins quasi constantes). Il y a aussi lieu de préciser qu’il ne ressort pas du dossier que la recourante ait été suivie par un psychiatre lors de la première demande. Cela étant, l’on ignore ce qu’il en est à défaut de tout document idoine sur le plan psychiatrique. Quand bien même la recourante n’a pas produit de rapport émanant d’un psychiatre, cela ne saurait renverser le fardeau de la preuve qui incombe, conformément à la jurisprudence susmentionnée, à l’OAI. Or ce dernier ne pouvait se passer d’instruire la cause sous cet angle au vu de ce qui précède. d) Ainsi, et contrairement à ce que soutient l’OAI, il n’est pas possible de conclure à ce stade et sans instruction complémentaire à une amélioration de l’état de santé de la recourante à partir du 1 er septembre 2023, date vraisemblablement arrêtée par application de l’article 88a al. 1 RAI au regard de l’incapacité totale de travail prononcée jusqu’au 28 juin 2023 par la Dre H.________ en lien avec la dernière opération chirurgicale subie par la recourante. S'agissant dès lors de la nécessité d'élucider des questions non réglées par l'administration ( ATF 137 V 210 cons. 4.4.1.4), il convient d'ordonner le renvoi de la cause à l'OAI, à qui il appartient au premier chef d'instruire, conformément au principe inquisitoire qui régit la procédure dans le domaine des assurances sociales, selon l'article 43 al. 1 LPGA. Il lui incombera donc de mettre en œuvre les mesures d’instruction nécessaires permettant de déterminer à satisfaction de droit l’état de santé de la recourante à tout le moins au niveau psychiatrique afin de déterminer le droit éventuel aux prestations au-delà du 30 novembre 2023, étant rappelé que l’octroi d’une rente entière jusqu’à cette date n’est pas remis en cause.</w:t>
      </w:r>
    </w:p>
    <w:p>
      <w:r>
        <w:rPr>
          <w:b/>
        </w:rPr>
        <w:t>E. 6</w:t>
      </w:r>
    </w:p>
    <w:p>
      <w:r>
        <w:t>Vu l'issue de la procédure, les frais de justice sont mis à la charge de l'intimé qui succombe (art. 69 al. 1 bis LAI). L'avance de frais effectuée par la recourante lui sera restituée. La recourante n'est pas représentée par un mandataire professionnel. Il n'est dès lors pas alloué d'indemnité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