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CDP.2023.371 vom 20. Dezember 2024</w:t>
      </w:r>
    </w:p>
    <w:p>
      <w:r>
        <w:t>NE Tribunal cantonal, 2024-12-20, FR</w:t>
      </w:r>
    </w:p>
    <w:p>
      <w:r>
        <w:rPr>
          <w:b/>
        </w:rPr>
        <w:t xml:space="preserve">Quelle: </w:t>
      </w:r>
      <w:r>
        <w:t>https://mcp.opencaselaw.ch/entscheid/ne_gerichte_CDP.2023.371</w:t>
      </w:r>
    </w:p>
    <w:p>
      <w:r>
        <w:t>FR: NE_GERICHTE CDP.2023.371 du 20 décembre 2024</w:t>
      </w:r>
    </w:p>
    <w:p>
      <w:r>
        <w:t>IT: NE_GERICHTE CDP.2023.371 del 20 dicembre 2024</w:t>
      </w:r>
    </w:p>
    <w:p>
      <w:pPr>
        <w:pStyle w:val="Heading2"/>
      </w:pPr>
      <w:r>
        <w:t>Erwägungen</w:t>
      </w:r>
    </w:p>
    <w:p>
      <w:r>
        <w:rPr>
          <w:b/>
        </w:rPr>
        <w:t>E. 8</w:t>
      </w:r>
    </w:p>
    <w:p>
      <w:r>
        <w:t>Dans son dernier grief, d’ordre subsidiaire, la recourante demande implicitement que, si les reprises litigieuses devaient être imposées, l’imposition tienne alors compte de la charge fiscale y relative. a) Aux termes des articles 59 al. 1 let. a LIFD et 85 1 let. a LCdir , les charges justifiées par l'usage commercial comprennent également les impôts fédéraux, cantonaux et communaux. Lors d'une reprise de bénéfice effectuée dans le cadre d'une correction de bilan, l'autorité fiscale doit donc également corriger d'office les montants de provision pour impôts des années en cause, cette correction devant au demeurant intervenir indépendamment de la volonté du contribuable et du fait qu'il ait ou non pu reconnaître l'erreur figurant dans son bilan commercial ( ATF 141 II 83 ; arrêt du TF du 10.12.2018 [ 2C_607/2017 ] ; Danon , op. cit., ad art. 59 no 5ss). Ce procédé résulte en effet tant de dispositions impératives du droit commercial (art. 959b al. 2 ch. 10 et al. 3 ch. 7 CO), que de la règle correctrice de l’article 58 al. let. b ou c LIFD en relation avec l’article 59 al. 1 let. a LFID. Au surplus, les motifs pour lesquels le contribuable n’a pas tenu compte de la provision dans son bilan ou s’il aurait pu être attendu de celui-ci qu’il le fasse ne jouent aucun rôle. ( ATF 141 II 83 , cons. 5). b) En l’espèce, la question d’un éventuel ajustement ou création de la provision pour impôts liée au redressement du bénéfice imposable n’a pas été soulevée ni examinée par le SCCO. Dès lors que cette question doit toutefois être examinée d’office, il ne peut être opposé à la recourante de ne pas en avoir fait état devant l’autorité fiscale. Partant, le recours sera admis sur ce point. La cause sera renvoyée à l’intimé afin qu’il détermine si une telle provision devait être constituée (une telle provision n’ayant apparemment pas encore été comptabilisée) compte tenu de la reprise litigieuse et qu’elle rende une nouvelle décision après examen de cette question.</w:t>
      </w:r>
    </w:p>
    <w:p>
      <w:r>
        <w:rPr>
          <w:b/>
        </w:rPr>
        <w:t>E. 9</w:t>
      </w:r>
    </w:p>
    <w:p>
      <w:r>
        <w:t>Vu ce qui précède, le recours doit être admis, la décision annulée au sens des considérants et la cause renvoyée à l’intimé pour nouvelle décision. L'Etat qui succombe n'est pas astreint aux frais (art. 47 al. 2 LPJA ) et il n'en sera pas perçu. La recourante, qui obtient gain de cause, a droit à des dépens pour la présente procédure (art. 48 al. 1 LPJA ). Me E.________ n’ayant pas déposé un mémoire d'honoraires et n’étant intervenu qu’en fin de procédure par le dépôt d’observations reprenant pour l’essentiel les arguments déjà développés dans le mémoire de recours du 11 décembre 2023, un engagement de 4 heures se révèle adéquat. Eu égard au tarif dorénavant appliqué par la Cour de céans de l'ordre de 300 francs de l'heure, les honoraires à prendre en considération seront fixés à 1’200 francs, montant auquel il convient d’ajouter les débours forfaitaires par 120 francs (art. 63 LTFrais par renvoi de l’art. 67 LTFrais ) ainsi que la TVA de 8,1 % (CHF106.90).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