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CDP.2022.97 vom 26. Juli 2023</w:t>
      </w:r>
    </w:p>
    <w:p>
      <w:r>
        <w:t>NE Tribunal cantonal, 2023-07-26, FR</w:t>
      </w:r>
    </w:p>
    <w:p>
      <w:r>
        <w:rPr>
          <w:b/>
        </w:rPr>
        <w:t xml:space="preserve">Quelle: </w:t>
      </w:r>
      <w:r>
        <w:t>https://mcp.opencaselaw.ch/entscheid/ne_gerichte_CDP.2022.97</w:t>
      </w:r>
    </w:p>
    <w:p>
      <w:r>
        <w:t>FR: NE_GERICHTE CDP.2022.97 du 26 juillet 2023</w:t>
      </w:r>
    </w:p>
    <w:p>
      <w:r>
        <w:t>IT: NE_GERICHTE CDP.2022.97 del 26 luglio 2023</w:t>
      </w:r>
    </w:p>
    <w:p>
      <w:pPr>
        <w:pStyle w:val="Heading2"/>
      </w:pPr>
      <w:r>
        <w:t>Erwägungen</w:t>
      </w:r>
    </w:p>
    <w:p>
      <w:r>
        <w:rPr>
          <w:b/>
        </w:rPr>
        <w:t>E. 1</w:t>
      </w:r>
    </w:p>
    <w:p>
      <w:r>
        <w:t>Interjeté dans les formes et délai légaux, le recours est recevable.</w:t>
      </w:r>
    </w:p>
    <w:p>
      <w:r>
        <w:rPr>
          <w:b/>
        </w:rPr>
        <w:t>E. 2</w:t>
      </w:r>
    </w:p>
    <w:p>
      <w:r>
        <w:t>a)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elle établit de façon plausible que l'invalidité, l'impotence ou l'étendue du besoin de soins ou du besoin d'aide découlant de l'invalidité de l'assuré s'est modifiée de manière à influencer ses droits (art. 87 al. 2 et 3 RAI ).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 5.2, 130 V 64 cons. 5.2.3, 125 V 410 cons.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la manière dont l'administration a tranché la question de l'entrée en matière que lorsque ce point est litigieux, c'est-à-dire quand l'administration a refusé d'entrer en matière en se fondant sur l'article 87 al. 3 RAI et que l'assuré a interjeté recours pour ce motif. Ce contrôle par l'autorité judiciaire n'est en revanche pas nécessaire lorsque l'administration est entrée en matière sur la nouvelle demande ( ATF 109 V 108 cons. 2b ; arrêt du TF du 27.07.2013 [9C_789/2012] cons. 2.2). b) Le principe inquisitoire, selon lequel les faits pertinents de la cause doivent être constatés d'office par l'autorité (cf. art. 43 al. 1 LPGA), ne s'applique pas à la procédure de l'article 87 al. 2 RAI ( ATF 130 V 64 cons. 5.2.5.). Eu égard au caractère atypique de celle-ci dans le droit des assurances sociales, le Tribunal fédéral a précisé que l'administration pouvait appliquer par analogie l'article 73 aRAI (cf. actuellement l’art. 43 al. 3 LPGA) – qui permet aux organes de l'AI de statuer en l'état du dossier en cas de refus de l'assuré de coopérer – à la procédure régie par l'article 87 al. 2 RAI , à la condition de s'en tenir aux principes découlant de la protection de la bonne foi (cf. art. 5 al.</w:t>
      </w:r>
    </w:p>
    <w:p>
      <w:r>
        <w:rPr>
          <w:b/>
        </w:rPr>
        <w:t>E. 3</w:t>
      </w:r>
    </w:p>
    <w:p>
      <w:r>
        <w:t>et 9 Cst. féd. ;ATF 124 II 265cons.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64cons. 5.2.5 ; arrêts du TF des27.07.2013 [9C_789/2012]cons. 2.3 et11.09.2008 [9C_708/2007]cons. 2.3). Le Tribunal fédéral a ainsi limité l'application par analogie de l'article 73 aRAI (actuellement art. 43 al. 3 LPGA) à la procédure à suivre, soit la fixation par l'autorité d'un délai en rendant attentif aux conséquences du non-respect des exigences d'une part, et la conséquence sous forme de non-entrée en matière sur la demande de révision d'autre part. Il n'a pas étendu cette application par analogie à la question de savoir si, dans l'hypothèse où l'assuré ne donne pas suite à la demande de l'administration, ce manque de réaction intervient sans excuse valable (art. 73 aRAI), respectivement de manière inexcusable (art. 43 al. 3 LPGA). En effet, l'examen de l'existence d'un motif excusable ne peut intervenir que dans les situations où la charge de l'établissement des faits incombe à l'autorité et où il existe en contrepartie une obligation de collaborer ou de renseigner à charge de l'assuré, c'est-à-dire lorsque l'autorité est entrée en matière sur une demande de prestations et procède à son examen au fond. La procédure de l'article87 al. 2 RAIrelève quant à elle d'une procédure préalable au caractère atypique dans laquelle les exigences posées envers l'assuré sont plus larges et où la responsabilité de rendre plausible une détérioration de son état de santé est exclusivement à sa charge.</w:t>
      </w:r>
    </w:p>
    <w:p>
      <w:r>
        <w:t>Autrement dit, dans un litige portant sur le bien-fondé du refus d'entrer en matière sur une nouvelle demande, l'examen du juge est d'emblée limité au point de savoir si les pièces déposées en procédure administrative justifiaient ou non la reprise de l'instruction du dossier (arrêt du TF du06.08.2012 [9C_959/2011]cons. 4.3). Partant, les rapports médicaux produits ultérieurement au prononcé de la décision administrative ne peuvent être pris en considération dans un litige de ce genre (arrêt du TF du08.01.2007 [I 597/05]cons. 4.1 et les réf. citées), et le juge n'a pas à examiner si l'assuré avait une excuse valable pour ne pas avoir rendu plausible une détérioration de son état de santé au sens de l'article87 al. 2 RAI.</w:t>
      </w:r>
    </w:p>
    <w:p>
      <w:r>
        <w:t>3.En l'espèce, est litigieux le refus de l'OAI d'entrer en matière sur la demande de révision déposée par le recourant. Ainsi, la présente procédure porte uniquement sur le point de savoir si, devant l'intimé, l'intéressé a rendu plausible une aggravation significative de son état de santé. L'examen du dossier permet d'aboutir à la conclusion que tel n'est pas le cas. Dans le cadre de sa demande de révision, lassuré s'est limité àmentionner que sa situation sanitaire, professionnelle et sociale sest empirée ; quil souffre de dépression, de douleurs physiques, mentales et cognitive ; quil a développé une très grave dépression depuis 2008 ; que son médecin de famille depuis mai 2020 est le Dr B.________ et que son psychiatre est le Dr C.________. Il sest limité à ces affirmations générales et na fourni aucun détail. Il na par ailleurs pas donné suite aucourrier de l'OAI lui impartissant un délai de trente jours pour rendre plausible la modification de son état de santé par des moyens pertinents, par exemple la production d'avis médicaux. Faute pour lui d'avoir apporté des éléments médicaux pertinents permettant de rendre plausible une modification de son état de santé, l'OAI n'est à juste titre pas entré en matière sur sa demande de révision. Dans le cadre de son recours, lintéressé ne conteste pas quil na pas rendu plausible devant lOAI une aggravation de son état de santé, condition indispensable et nécessaire dans le cadre de lexamen dune demande de révision au sens de larticle87 al. 2 RAI. Ce défaut de collaboration nest du reste pas contestable au vu du dossier. Par ailleurs, la production en instance de recours de documents destinés à établir laggravation de son état de santé ne lui est daucune utilité, dès lors que de tels documents produits ultérieurement au prononcé de la décision de lOAI ne peuvent pas être pris en considération par la Cour de céans dans le cadre dun litige relatif à larticle87 al. 2 RAI(cf. cons. 2b ci-dessus). Enfin, les raisons pour lesquelles l'assuré n'a pas donné suite à la demande de l'OAI de rendre plausible une modification de l'état de santé sont sans pertinence dans le contexte d'un recours contre une décision de non-entrée en matière fondée sur l'article87 al. 2 RAI. Ainsi, les arguments du recourant consistant à soutenir quil est déprimé, quil ne va pas bien moralement et physiquement, quil souffre de problèmes doublis et quil a oublié daller à la poste pour retirer le courrier de lOAI, raison pour laquelle il na pas fourni les documents médicaux demandés, ne peuvent pas être pris en considération dans le cadre de la présente procédure de recours.</w:t>
      </w:r>
    </w:p>
    <w:p>
      <w:r>
        <w:t>4.Les considérants qui précèdent amènent au rejet du recours. Cela étant, et vu l'issue du litige, les frais de la procédure doivent être mis à la charge du recourant (art. 69 al. 1bisLAI) qui n'a, par ailleurs, pas droit à des dépens (art. 61 let. g LPGA). La demande dassistance judiciaire limitée aux frais doit être rejetée dès lors que les conclusions du recours étaient demblée vouées à léchec, ainsi que cela ressort des considérants ci-dessus.</w:t>
      </w:r>
    </w:p>
    <w:p>
      <w:r>
        <w:t>Par ces motifs,la Cour de droit public</w:t>
      </w:r>
    </w:p>
    <w:p>
      <w:r>
        <w:t>1.Rejette le recours.</w:t>
      </w:r>
    </w:p>
    <w:p>
      <w:r>
        <w:t>2.Rejette la demande dassistance judiciaire.</w:t>
      </w:r>
    </w:p>
    <w:p>
      <w:r>
        <w:t>3.Met à la charge du recourant un émolument de décision de 600 francs et les débours par 60 francs.</w:t>
      </w:r>
    </w:p>
    <w:p>
      <w:r>
        <w:t>4.Nalloue pas de dépens.</w:t>
      </w:r>
    </w:p>
    <w:p>
      <w:r>
        <w:t>Neuchâtel, le 26 juillet 2023</w:t>
      </w:r>
    </w:p>
    <w:p>
      <w:r>
        <w:rPr>
          <w:b/>
        </w:rPr>
        <w:t>E. 4</w:t>
      </w:r>
    </w:p>
    <w:p>
      <w:r>
        <w:t>Les considérants qui précèdent amènent au rejet du recours. Cela étant, et vu l'issue du litige, les frais de la procédure doivent être mis à la charge du recourant (art. 69 al. 1 bis LAI) qui n'a, par ailleurs, pas droit à des dépens (art. 61 let. g LPGA). La demande d’assistance judiciaire limitée aux frais doit être rejetée dès lors que les conclusions du recours étaient d’emblée vouées à l’échec, ainsi que cela ressort des considérants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