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CDP.2022.93 vom 16. Mai 2023</w:t>
      </w:r>
    </w:p>
    <w:p>
      <w:r>
        <w:t>NE Tribunal cantonal, 2023-05-16, FR</w:t>
      </w:r>
    </w:p>
    <w:p>
      <w:r>
        <w:rPr>
          <w:b/>
        </w:rPr>
        <w:t xml:space="preserve">Quelle: </w:t>
      </w:r>
      <w:r>
        <w:t>https://mcp.opencaselaw.ch/entscheid/ne_gerichte_CDP.2022.93</w:t>
      </w:r>
    </w:p>
    <w:p>
      <w:r>
        <w:t>FR: NE_GERICHTE CDP.2022.93 du 16 mai 2023</w:t>
      </w:r>
    </w:p>
    <w:p>
      <w:r>
        <w:t>IT: NE_GERICHTE CDP.2022.93 del 16 maggio 2023</w:t>
      </w:r>
    </w:p>
    <w:p>
      <w:pPr>
        <w:pStyle w:val="Heading2"/>
      </w:pPr>
      <w:r>
        <w:t>Erwägungen</w:t>
      </w:r>
    </w:p>
    <w:p>
      <w:r>
        <w:rPr>
          <w:b/>
        </w:rPr>
        <w:t>E. 36</w:t>
      </w:r>
    </w:p>
    <w:p>
      <w:r>
        <w:t>al. 1 LAI ) ni même au moins d'une année entière de cotisations (art. 6 al. 1 LAI) au moment de la survenance de l'invalidité, en 2004, de sorte qu'elle ne peut rien exciper de la convention de 2018. 10. a) Pour les motifs qui précèdent, le recours doit être rejeté et la décision attaquée confirmée. b) Vu l'issue du litige, les frais de la procédure doivent être mis à la charge de la recourante, dès lors qu'elle succombe (art. 69 al. 1 bis LAI). Elle n'a par ailleurs pas droit à des dépens (art. 61 let. g LPGA a contrario ). c) La recourante sollicite l’assistance judiciaire limitée aux frais. Celle-ci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 Dans le cas d’espèce, l’indigence de la recourante peut être considérée comme établie, dans la mesure où elle émarge à l’aide sociale. Ses conclusions n’apparaissaient de plus pas d’emblée vouées à l’échec. Par conséquent, l’octroi de l’assistance judiciaire limitée aux frais se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